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F56B" w14:textId="77777777" w:rsidR="007D1119" w:rsidRPr="00190C90" w:rsidRDefault="007D1119" w:rsidP="007D1119">
      <w:pPr>
        <w:jc w:val="center"/>
        <w:rPr>
          <w:rFonts w:cs="Microsoft Sans Serif"/>
          <w:b/>
        </w:rPr>
      </w:pPr>
      <w:r w:rsidRPr="00190C90">
        <w:rPr>
          <w:rFonts w:cs="Microsoft Sans Serif"/>
          <w:b/>
        </w:rPr>
        <w:t>Management Referral Guidance &amp; Process Flow</w:t>
      </w:r>
    </w:p>
    <w:p w14:paraId="64F9F9BD" w14:textId="75A033D6" w:rsidR="007D1119" w:rsidRPr="00190C90" w:rsidRDefault="007D1119" w:rsidP="007D1119">
      <w:pPr>
        <w:rPr>
          <w:rFonts w:cs="Microsoft Sans Serif"/>
        </w:rPr>
      </w:pPr>
      <w:r w:rsidRPr="00190C90">
        <w:rPr>
          <w:rFonts w:cs="Microsoft Sans Serif"/>
        </w:rPr>
        <w:t>Advice provided by Occupational Physicians is primarily designed to support the referring manager in his/her decision-making when dealing with a</w:t>
      </w:r>
      <w:r w:rsidR="00F83806">
        <w:rPr>
          <w:rFonts w:cs="Microsoft Sans Serif"/>
        </w:rPr>
        <w:t xml:space="preserve"> confirmed or possible </w:t>
      </w:r>
      <w:r w:rsidRPr="00190C90">
        <w:rPr>
          <w:rFonts w:cs="Microsoft Sans Serif"/>
        </w:rPr>
        <w:t xml:space="preserve">health-related issue in the workplace. After assessment of the problem, a report is provided to the referring manager.  This is not a “medical” report but a “management” report designed to answer specific questions asked by the referring manager. It does not </w:t>
      </w:r>
      <w:r w:rsidR="00AB37F0">
        <w:rPr>
          <w:rFonts w:cs="Microsoft Sans Serif"/>
        </w:rPr>
        <w:t xml:space="preserve">usually </w:t>
      </w:r>
      <w:r w:rsidRPr="00190C90">
        <w:rPr>
          <w:rFonts w:cs="Microsoft Sans Serif"/>
        </w:rPr>
        <w:t>go into medical detail</w:t>
      </w:r>
      <w:r w:rsidR="00F72636">
        <w:rPr>
          <w:rFonts w:cs="Microsoft Sans Serif"/>
        </w:rPr>
        <w:t>,</w:t>
      </w:r>
      <w:r w:rsidRPr="00190C90">
        <w:rPr>
          <w:rFonts w:cs="Microsoft Sans Serif"/>
        </w:rPr>
        <w:t xml:space="preserve"> but addresses the </w:t>
      </w:r>
      <w:r w:rsidR="00F72636">
        <w:rPr>
          <w:rFonts w:cs="Microsoft Sans Serif"/>
        </w:rPr>
        <w:t xml:space="preserve">health condition’s impact upon the </w:t>
      </w:r>
      <w:r w:rsidRPr="00190C90">
        <w:rPr>
          <w:rFonts w:cs="Microsoft Sans Serif"/>
        </w:rPr>
        <w:t>function</w:t>
      </w:r>
      <w:r w:rsidR="00F72636">
        <w:rPr>
          <w:rFonts w:cs="Microsoft Sans Serif"/>
        </w:rPr>
        <w:t xml:space="preserve"> or performance</w:t>
      </w:r>
      <w:r w:rsidR="00DD6745">
        <w:rPr>
          <w:rFonts w:cs="Microsoft Sans Serif"/>
        </w:rPr>
        <w:t xml:space="preserve"> </w:t>
      </w:r>
      <w:r w:rsidRPr="00190C90">
        <w:rPr>
          <w:rFonts w:cs="Microsoft Sans Serif"/>
        </w:rPr>
        <w:t xml:space="preserve">of the </w:t>
      </w:r>
      <w:r w:rsidR="00DD6745">
        <w:rPr>
          <w:rFonts w:cs="Microsoft Sans Serif"/>
        </w:rPr>
        <w:t>employee</w:t>
      </w:r>
      <w:r w:rsidRPr="00190C90">
        <w:rPr>
          <w:rFonts w:cs="Microsoft Sans Serif"/>
        </w:rPr>
        <w:t xml:space="preserve"> using lay language.</w:t>
      </w:r>
    </w:p>
    <w:p w14:paraId="64EEA8C4" w14:textId="77777777" w:rsidR="007D1119" w:rsidRPr="00190C90" w:rsidRDefault="007D1119" w:rsidP="007D1119">
      <w:pPr>
        <w:rPr>
          <w:rFonts w:cs="Microsoft Sans Serif"/>
        </w:rPr>
      </w:pPr>
      <w:r w:rsidRPr="00190C90">
        <w:rPr>
          <w:rFonts w:cs="Microsoft Sans Serif"/>
          <w:b/>
        </w:rPr>
        <w:t>Reasons For Referral</w:t>
      </w:r>
    </w:p>
    <w:p w14:paraId="32CD50A1" w14:textId="77777777" w:rsidR="007D1119" w:rsidRPr="00190C90" w:rsidRDefault="007D1119" w:rsidP="007D1119">
      <w:pPr>
        <w:rPr>
          <w:rFonts w:cs="Microsoft Sans Serif"/>
        </w:rPr>
      </w:pPr>
      <w:r w:rsidRPr="00190C90">
        <w:rPr>
          <w:rFonts w:cs="Microsoft Sans Serif"/>
        </w:rPr>
        <w:t>There may be many reasons for wishing to obtain independent medical advice in relation to an employee, but the commonest reasons include:</w:t>
      </w:r>
    </w:p>
    <w:p w14:paraId="099AF9C6" w14:textId="77777777" w:rsidR="007D1119" w:rsidRPr="00190C90" w:rsidRDefault="007D1119" w:rsidP="007D1119">
      <w:pPr>
        <w:numPr>
          <w:ilvl w:val="0"/>
          <w:numId w:val="20"/>
        </w:numPr>
        <w:spacing w:after="0" w:line="240" w:lineRule="auto"/>
        <w:rPr>
          <w:rFonts w:cs="Microsoft Sans Serif"/>
        </w:rPr>
      </w:pPr>
      <w:r w:rsidRPr="00190C90">
        <w:rPr>
          <w:rFonts w:cs="Microsoft Sans Serif"/>
          <w:b/>
        </w:rPr>
        <w:t>Long term sickness absence</w:t>
      </w:r>
      <w:r w:rsidRPr="00190C90">
        <w:rPr>
          <w:rFonts w:cs="Microsoft Sans Serif"/>
        </w:rPr>
        <w:t xml:space="preserve"> – usually defined as continuous absence of 4 weeks or more.</w:t>
      </w:r>
    </w:p>
    <w:p w14:paraId="196CC6C5" w14:textId="706BF6F6" w:rsidR="007D1119" w:rsidRPr="00190C90" w:rsidRDefault="00AB37F0" w:rsidP="007D1119">
      <w:pPr>
        <w:numPr>
          <w:ilvl w:val="0"/>
          <w:numId w:val="20"/>
        </w:numPr>
        <w:spacing w:after="0" w:line="240" w:lineRule="auto"/>
        <w:rPr>
          <w:rFonts w:cs="Microsoft Sans Serif"/>
        </w:rPr>
      </w:pPr>
      <w:r>
        <w:rPr>
          <w:rFonts w:cs="Microsoft Sans Serif"/>
          <w:b/>
        </w:rPr>
        <w:t>Recurring short term</w:t>
      </w:r>
      <w:r w:rsidR="007D1119" w:rsidRPr="00190C90">
        <w:rPr>
          <w:rFonts w:cs="Microsoft Sans Serif"/>
          <w:b/>
        </w:rPr>
        <w:t xml:space="preserve"> absence</w:t>
      </w:r>
      <w:r w:rsidR="007D1119" w:rsidRPr="00190C90">
        <w:rPr>
          <w:rFonts w:cs="Microsoft Sans Serif"/>
        </w:rPr>
        <w:t xml:space="preserve"> – based on </w:t>
      </w:r>
      <w:r w:rsidR="00270868">
        <w:rPr>
          <w:rFonts w:cs="Microsoft Sans Serif"/>
        </w:rPr>
        <w:t xml:space="preserve">the number of </w:t>
      </w:r>
      <w:r w:rsidR="007D1119" w:rsidRPr="00190C90">
        <w:rPr>
          <w:rFonts w:cs="Microsoft Sans Serif"/>
        </w:rPr>
        <w:t>episodes and their frequency e.g. Bradford formula.</w:t>
      </w:r>
    </w:p>
    <w:p w14:paraId="7D1242FD" w14:textId="77777777" w:rsidR="007D1119" w:rsidRPr="00190C90" w:rsidRDefault="007D1119" w:rsidP="007D1119">
      <w:pPr>
        <w:numPr>
          <w:ilvl w:val="0"/>
          <w:numId w:val="20"/>
        </w:numPr>
        <w:spacing w:after="0" w:line="240" w:lineRule="auto"/>
        <w:rPr>
          <w:rFonts w:cs="Microsoft Sans Serif"/>
        </w:rPr>
      </w:pPr>
      <w:r w:rsidRPr="00190C90">
        <w:rPr>
          <w:rFonts w:cs="Microsoft Sans Serif"/>
          <w:b/>
        </w:rPr>
        <w:t>Concerns over work performance</w:t>
      </w:r>
      <w:r w:rsidRPr="00190C90">
        <w:rPr>
          <w:rFonts w:cs="Microsoft Sans Serif"/>
        </w:rPr>
        <w:t xml:space="preserve"> – poor or reduced performance levels where there may be a health problem.</w:t>
      </w:r>
    </w:p>
    <w:p w14:paraId="40A0D26E" w14:textId="5B68E817" w:rsidR="007D1119" w:rsidRPr="00190C90" w:rsidRDefault="007D1119" w:rsidP="007D1119">
      <w:pPr>
        <w:numPr>
          <w:ilvl w:val="0"/>
          <w:numId w:val="20"/>
        </w:numPr>
        <w:spacing w:after="0" w:line="240" w:lineRule="auto"/>
        <w:rPr>
          <w:rFonts w:cs="Microsoft Sans Serif"/>
        </w:rPr>
      </w:pPr>
      <w:r w:rsidRPr="00190C90">
        <w:rPr>
          <w:rFonts w:cs="Microsoft Sans Serif"/>
          <w:b/>
        </w:rPr>
        <w:t>Investigation of work-related illness/injury</w:t>
      </w:r>
      <w:r w:rsidRPr="00190C90">
        <w:rPr>
          <w:rFonts w:cs="Microsoft Sans Serif"/>
        </w:rPr>
        <w:t xml:space="preserve"> – assessment of whether a health problem is likely to be </w:t>
      </w:r>
      <w:r w:rsidR="00270868">
        <w:rPr>
          <w:rFonts w:cs="Microsoft Sans Serif"/>
        </w:rPr>
        <w:t>caused or partially caused by work,</w:t>
      </w:r>
      <w:r w:rsidRPr="00190C90">
        <w:rPr>
          <w:rFonts w:cs="Microsoft Sans Serif"/>
        </w:rPr>
        <w:t xml:space="preserve"> or not.</w:t>
      </w:r>
    </w:p>
    <w:p w14:paraId="74B59CCD" w14:textId="77777777" w:rsidR="007D1119" w:rsidRPr="00190C90" w:rsidRDefault="007D1119" w:rsidP="007D1119">
      <w:pPr>
        <w:numPr>
          <w:ilvl w:val="0"/>
          <w:numId w:val="20"/>
        </w:numPr>
        <w:spacing w:after="0" w:line="240" w:lineRule="auto"/>
        <w:rPr>
          <w:rFonts w:cs="Microsoft Sans Serif"/>
        </w:rPr>
      </w:pPr>
      <w:r w:rsidRPr="00190C90">
        <w:rPr>
          <w:rFonts w:cs="Microsoft Sans Serif"/>
          <w:b/>
        </w:rPr>
        <w:t>Substance abuse concerns</w:t>
      </w:r>
      <w:r w:rsidRPr="00190C90">
        <w:rPr>
          <w:rFonts w:cs="Microsoft Sans Serif"/>
        </w:rPr>
        <w:t xml:space="preserve"> – assessment of suspected or admitted to substance abuse affecting work.</w:t>
      </w:r>
    </w:p>
    <w:p w14:paraId="764D5251" w14:textId="0EDA4DA2" w:rsidR="007D1119" w:rsidRPr="00190C90" w:rsidRDefault="007D1119" w:rsidP="007D1119">
      <w:pPr>
        <w:numPr>
          <w:ilvl w:val="0"/>
          <w:numId w:val="20"/>
        </w:numPr>
        <w:spacing w:after="0" w:line="240" w:lineRule="auto"/>
        <w:rPr>
          <w:rFonts w:cs="Microsoft Sans Serif"/>
        </w:rPr>
      </w:pPr>
      <w:r w:rsidRPr="00190C90">
        <w:rPr>
          <w:rFonts w:cs="Microsoft Sans Serif"/>
          <w:b/>
        </w:rPr>
        <w:t>Ill-Health Retirement assessment</w:t>
      </w:r>
      <w:r w:rsidRPr="00190C90">
        <w:rPr>
          <w:rFonts w:cs="Microsoft Sans Serif"/>
        </w:rPr>
        <w:t xml:space="preserve"> – whether the scheme ill health retirement criteria are </w:t>
      </w:r>
      <w:r w:rsidR="00AB37F0">
        <w:rPr>
          <w:rFonts w:cs="Microsoft Sans Serif"/>
        </w:rPr>
        <w:t xml:space="preserve">likely to be </w:t>
      </w:r>
      <w:r w:rsidRPr="00190C90">
        <w:rPr>
          <w:rFonts w:cs="Microsoft Sans Serif"/>
        </w:rPr>
        <w:t>met</w:t>
      </w:r>
      <w:r w:rsidR="00AB37F0">
        <w:rPr>
          <w:rFonts w:cs="Microsoft Sans Serif"/>
        </w:rPr>
        <w:t xml:space="preserve"> </w:t>
      </w:r>
      <w:r w:rsidR="00AB37F0" w:rsidRPr="00AB37F0">
        <w:rPr>
          <w:rFonts w:cs="Microsoft Sans Serif"/>
          <w:i/>
        </w:rPr>
        <w:t>[please note that separate arrangements exist for formal independent pension scheme opinions]</w:t>
      </w:r>
      <w:r w:rsidR="00752F80">
        <w:rPr>
          <w:rFonts w:cs="Microsoft Sans Serif"/>
          <w:i/>
        </w:rPr>
        <w:t>.</w:t>
      </w:r>
    </w:p>
    <w:p w14:paraId="0F5BD25C" w14:textId="77777777" w:rsidR="007D1119" w:rsidRDefault="007D1119" w:rsidP="007D1119">
      <w:pPr>
        <w:rPr>
          <w:rFonts w:cs="Microsoft Sans Serif"/>
          <w:b/>
        </w:rPr>
      </w:pPr>
    </w:p>
    <w:p w14:paraId="50A1BA4F" w14:textId="77777777" w:rsidR="007D1119" w:rsidRPr="00190C90" w:rsidRDefault="007D1119" w:rsidP="007D1119">
      <w:pPr>
        <w:rPr>
          <w:rFonts w:cs="Microsoft Sans Serif"/>
        </w:rPr>
      </w:pPr>
      <w:r w:rsidRPr="00190C90">
        <w:rPr>
          <w:rFonts w:cs="Microsoft Sans Serif"/>
          <w:b/>
        </w:rPr>
        <w:t>Notifying the Referred Employee</w:t>
      </w:r>
    </w:p>
    <w:p w14:paraId="67754CF4" w14:textId="2278026C" w:rsidR="007D1119" w:rsidRDefault="007D1119" w:rsidP="007D1119">
      <w:pPr>
        <w:rPr>
          <w:rFonts w:cs="Microsoft Sans Serif"/>
        </w:rPr>
      </w:pPr>
      <w:r w:rsidRPr="00190C90">
        <w:rPr>
          <w:rFonts w:cs="Microsoft Sans Serif"/>
        </w:rPr>
        <w:t xml:space="preserve">When referring an employee for occupational health advice, it is </w:t>
      </w:r>
      <w:r w:rsidR="00752F80">
        <w:rPr>
          <w:rFonts w:cs="Microsoft Sans Serif"/>
        </w:rPr>
        <w:t xml:space="preserve">essential </w:t>
      </w:r>
      <w:r w:rsidRPr="00190C90">
        <w:rPr>
          <w:rFonts w:cs="Microsoft Sans Serif"/>
        </w:rPr>
        <w:t>to let them know why they are being referred and what the process involves.  A short guidance note for the employee about the occupational health appointment is provided for this purpose</w:t>
      </w:r>
      <w:r w:rsidR="001E4B56">
        <w:rPr>
          <w:rFonts w:cs="Microsoft Sans Serif"/>
        </w:rPr>
        <w:t xml:space="preserve"> and can be downloaded from </w:t>
      </w:r>
      <w:hyperlink r:id="rId10" w:history="1">
        <w:r w:rsidR="00084200" w:rsidRPr="00195769">
          <w:rPr>
            <w:rStyle w:val="Hyperlink"/>
            <w:rFonts w:cs="Microsoft Sans Serif"/>
          </w:rPr>
          <w:t>www.tophs.co.uk</w:t>
        </w:r>
      </w:hyperlink>
      <w:r w:rsidRPr="00190C90">
        <w:rPr>
          <w:rFonts w:cs="Microsoft Sans Serif"/>
        </w:rPr>
        <w:t>.</w:t>
      </w:r>
      <w:r w:rsidR="00956FCC">
        <w:rPr>
          <w:rFonts w:cs="Microsoft Sans Serif"/>
        </w:rPr>
        <w:t xml:space="preserve"> </w:t>
      </w:r>
      <w:r w:rsidR="001806B4" w:rsidRPr="00C85F64">
        <w:rPr>
          <w:rFonts w:cs="Microsoft Sans Serif"/>
        </w:rPr>
        <w:t xml:space="preserve">It is important to inform TOPHS of any language barriers that the </w:t>
      </w:r>
      <w:r w:rsidR="001E4B56">
        <w:rPr>
          <w:rFonts w:cs="Microsoft Sans Serif"/>
        </w:rPr>
        <w:t>e</w:t>
      </w:r>
      <w:r w:rsidR="001806B4" w:rsidRPr="00C85F64">
        <w:rPr>
          <w:rFonts w:cs="Microsoft Sans Serif"/>
        </w:rPr>
        <w:t>mployee may have</w:t>
      </w:r>
      <w:r w:rsidR="001E4B56">
        <w:rPr>
          <w:rFonts w:cs="Microsoft Sans Serif"/>
        </w:rPr>
        <w:t>, so that we can allow adequate time for the consultation, and consider the need for an interpreter.</w:t>
      </w:r>
    </w:p>
    <w:p w14:paraId="1A1607D5" w14:textId="411B6EA5" w:rsidR="00C85F64" w:rsidRDefault="00C85F64" w:rsidP="007D1119">
      <w:pPr>
        <w:rPr>
          <w:rFonts w:cs="Microsoft Sans Serif"/>
        </w:rPr>
      </w:pPr>
    </w:p>
    <w:p w14:paraId="45CCF477" w14:textId="77777777" w:rsidR="001E4B56" w:rsidRDefault="001E4B56" w:rsidP="007D1119">
      <w:pPr>
        <w:rPr>
          <w:rFonts w:cs="Microsoft Sans Serif"/>
          <w:b/>
        </w:rPr>
      </w:pPr>
    </w:p>
    <w:p w14:paraId="11A0E47C" w14:textId="7C117BF2" w:rsidR="007D1119" w:rsidRDefault="007D1119" w:rsidP="007D1119">
      <w:pPr>
        <w:rPr>
          <w:rFonts w:cs="Microsoft Sans Serif"/>
          <w:b/>
        </w:rPr>
      </w:pPr>
      <w:r w:rsidRPr="00190C90">
        <w:rPr>
          <w:rFonts w:cs="Microsoft Sans Serif"/>
          <w:b/>
        </w:rPr>
        <w:lastRenderedPageBreak/>
        <w:t>Completing a Management Referral Form</w:t>
      </w:r>
    </w:p>
    <w:p w14:paraId="646A17A6" w14:textId="18545FA4" w:rsidR="007D1119" w:rsidRPr="00190C90" w:rsidRDefault="007D1119" w:rsidP="007D1119">
      <w:pPr>
        <w:rPr>
          <w:rFonts w:cs="Microsoft Sans Serif"/>
        </w:rPr>
      </w:pPr>
      <w:r w:rsidRPr="00190C90">
        <w:rPr>
          <w:rFonts w:cs="Microsoft Sans Serif"/>
        </w:rPr>
        <w:t xml:space="preserve">A standard management referral form must be completed before an employee can be booked for </w:t>
      </w:r>
      <w:r w:rsidR="00FD5424">
        <w:rPr>
          <w:rFonts w:cs="Microsoft Sans Serif"/>
        </w:rPr>
        <w:t xml:space="preserve">an </w:t>
      </w:r>
      <w:r w:rsidRPr="00190C90">
        <w:rPr>
          <w:rFonts w:cs="Microsoft Sans Serif"/>
        </w:rPr>
        <w:t>assessment.  It is essential that key information is provided</w:t>
      </w:r>
      <w:r w:rsidR="00AB37F0">
        <w:rPr>
          <w:rFonts w:cs="Microsoft Sans Serif"/>
        </w:rPr>
        <w:t xml:space="preserve"> to the assessing physician, as</w:t>
      </w:r>
      <w:r w:rsidRPr="00190C90">
        <w:rPr>
          <w:rFonts w:cs="Microsoft Sans Serif"/>
        </w:rPr>
        <w:t xml:space="preserve"> the quality of this information is vital to the effectiveness of the referral process.  Without adequate background information the assessing physician may be unable to fully assess a problem and respond to the questions asked.  </w:t>
      </w:r>
      <w:r w:rsidR="00FD5424">
        <w:rPr>
          <w:rFonts w:cs="Microsoft Sans Serif"/>
        </w:rPr>
        <w:t xml:space="preserve">Referral forms can be downloaded from </w:t>
      </w:r>
      <w:hyperlink r:id="rId11" w:history="1">
        <w:r w:rsidR="00FD5424" w:rsidRPr="00195769">
          <w:rPr>
            <w:rStyle w:val="Hyperlink"/>
            <w:rFonts w:cs="Microsoft Sans Serif"/>
          </w:rPr>
          <w:t>www.tophs.co.uk</w:t>
        </w:r>
      </w:hyperlink>
      <w:r w:rsidR="00FD5424">
        <w:rPr>
          <w:rFonts w:cs="Microsoft Sans Serif"/>
        </w:rPr>
        <w:t>.</w:t>
      </w:r>
    </w:p>
    <w:p w14:paraId="551A3AC2" w14:textId="77777777" w:rsidR="007D1119" w:rsidRPr="00190C90" w:rsidRDefault="007D1119" w:rsidP="007D1119">
      <w:pPr>
        <w:rPr>
          <w:rFonts w:cs="Microsoft Sans Serif"/>
        </w:rPr>
      </w:pPr>
      <w:r w:rsidRPr="00190C90">
        <w:rPr>
          <w:rFonts w:cs="Microsoft Sans Serif"/>
          <w:b/>
        </w:rPr>
        <w:t>Questions That May Be Relevant</w:t>
      </w:r>
    </w:p>
    <w:p w14:paraId="6A4CFD30" w14:textId="77777777" w:rsidR="007D1119" w:rsidRPr="00190C90" w:rsidRDefault="007D1119" w:rsidP="007D1119">
      <w:pPr>
        <w:rPr>
          <w:rFonts w:cs="Microsoft Sans Serif"/>
        </w:rPr>
      </w:pPr>
      <w:r w:rsidRPr="00190C90">
        <w:rPr>
          <w:rFonts w:cs="Microsoft Sans Serif"/>
        </w:rPr>
        <w:t>Common questions that a referring manager may wish advice on include:</w:t>
      </w:r>
    </w:p>
    <w:p w14:paraId="269A1D0A"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Is the employee fit for work?</w:t>
      </w:r>
    </w:p>
    <w:p w14:paraId="0158D31E"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When is the employee likely to become fit for work?</w:t>
      </w:r>
    </w:p>
    <w:p w14:paraId="47A7C824" w14:textId="73656B2A" w:rsidR="007D1119" w:rsidRPr="00190C90" w:rsidRDefault="007D1119" w:rsidP="007D1119">
      <w:pPr>
        <w:numPr>
          <w:ilvl w:val="0"/>
          <w:numId w:val="21"/>
        </w:numPr>
        <w:spacing w:after="0" w:line="240" w:lineRule="auto"/>
        <w:rPr>
          <w:rFonts w:cs="Microsoft Sans Serif"/>
        </w:rPr>
      </w:pPr>
      <w:r w:rsidRPr="00190C90">
        <w:rPr>
          <w:rFonts w:cs="Microsoft Sans Serif"/>
        </w:rPr>
        <w:t xml:space="preserve">Does the employee have a disability as defined by the </w:t>
      </w:r>
      <w:r w:rsidR="00084200">
        <w:rPr>
          <w:rFonts w:cs="Microsoft Sans Serif"/>
        </w:rPr>
        <w:t>Equality</w:t>
      </w:r>
      <w:r w:rsidRPr="00190C90">
        <w:rPr>
          <w:rFonts w:cs="Microsoft Sans Serif"/>
        </w:rPr>
        <w:t xml:space="preserve"> Act</w:t>
      </w:r>
      <w:r w:rsidR="00084200">
        <w:rPr>
          <w:rFonts w:cs="Microsoft Sans Serif"/>
        </w:rPr>
        <w:t xml:space="preserve"> 2010</w:t>
      </w:r>
      <w:r w:rsidRPr="00190C90">
        <w:rPr>
          <w:rFonts w:cs="Microsoft Sans Serif"/>
        </w:rPr>
        <w:t>?</w:t>
      </w:r>
    </w:p>
    <w:p w14:paraId="0AB5E74C" w14:textId="26C17958" w:rsidR="007D1119" w:rsidRPr="00190C90" w:rsidRDefault="007D1119" w:rsidP="007D1119">
      <w:pPr>
        <w:numPr>
          <w:ilvl w:val="0"/>
          <w:numId w:val="21"/>
        </w:numPr>
        <w:spacing w:after="0" w:line="240" w:lineRule="auto"/>
        <w:rPr>
          <w:rFonts w:cs="Microsoft Sans Serif"/>
        </w:rPr>
      </w:pPr>
      <w:r w:rsidRPr="00190C90">
        <w:rPr>
          <w:rFonts w:cs="Microsoft Sans Serif"/>
        </w:rPr>
        <w:t>What sort of accommodations or adjustments may be required</w:t>
      </w:r>
      <w:r w:rsidR="0064124A">
        <w:rPr>
          <w:rFonts w:cs="Microsoft Sans Serif"/>
        </w:rPr>
        <w:t xml:space="preserve"> to assist the employee</w:t>
      </w:r>
      <w:r w:rsidRPr="00190C90">
        <w:rPr>
          <w:rFonts w:cs="Microsoft Sans Serif"/>
        </w:rPr>
        <w:t>?</w:t>
      </w:r>
    </w:p>
    <w:p w14:paraId="7F7701DB"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Are accommodations or restrictions likely to be short term or permanent?</w:t>
      </w:r>
    </w:p>
    <w:p w14:paraId="138F380E" w14:textId="77777777" w:rsidR="00AB37F0" w:rsidRDefault="007D1119" w:rsidP="007D1119">
      <w:pPr>
        <w:numPr>
          <w:ilvl w:val="0"/>
          <w:numId w:val="21"/>
        </w:numPr>
        <w:spacing w:after="0" w:line="240" w:lineRule="auto"/>
        <w:rPr>
          <w:rFonts w:cs="Microsoft Sans Serif"/>
        </w:rPr>
      </w:pPr>
      <w:r w:rsidRPr="00190C90">
        <w:rPr>
          <w:rFonts w:cs="Microsoft Sans Serif"/>
        </w:rPr>
        <w:t>Is there an underlying medical reason for recurrent short t</w:t>
      </w:r>
      <w:r w:rsidR="00AB37F0">
        <w:rPr>
          <w:rFonts w:cs="Microsoft Sans Serif"/>
        </w:rPr>
        <w:t>erm absence?</w:t>
      </w:r>
    </w:p>
    <w:p w14:paraId="7866308C"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Is any underlying health problem likely to improve?</w:t>
      </w:r>
    </w:p>
    <w:p w14:paraId="0361654C"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Are further absences likely and at what level?</w:t>
      </w:r>
    </w:p>
    <w:p w14:paraId="4A77C098"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What can be done to assist an early return to work?</w:t>
      </w:r>
    </w:p>
    <w:p w14:paraId="6F245298"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Is a graduated return to work programme appropriate?</w:t>
      </w:r>
    </w:p>
    <w:p w14:paraId="5F818714"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Is the illness caused or made worse by work activity?</w:t>
      </w:r>
    </w:p>
    <w:p w14:paraId="0727FFD5"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What can be done to reduce the risk of further health problems in the workplace?</w:t>
      </w:r>
    </w:p>
    <w:p w14:paraId="248E41A2" w14:textId="77777777" w:rsidR="007D1119" w:rsidRPr="00190C90" w:rsidRDefault="007D1119" w:rsidP="007D1119">
      <w:pPr>
        <w:numPr>
          <w:ilvl w:val="0"/>
          <w:numId w:val="21"/>
        </w:numPr>
        <w:spacing w:after="0" w:line="240" w:lineRule="auto"/>
        <w:rPr>
          <w:rFonts w:cs="Microsoft Sans Serif"/>
        </w:rPr>
      </w:pPr>
      <w:r w:rsidRPr="00190C90">
        <w:rPr>
          <w:rFonts w:cs="Microsoft Sans Serif"/>
        </w:rPr>
        <w:t>Is reduced work performance likely to be due to health problems?</w:t>
      </w:r>
    </w:p>
    <w:p w14:paraId="0078A09F" w14:textId="4306376A" w:rsidR="007D1119" w:rsidRPr="00190C90" w:rsidRDefault="007D1119" w:rsidP="007D1119">
      <w:pPr>
        <w:numPr>
          <w:ilvl w:val="0"/>
          <w:numId w:val="21"/>
        </w:numPr>
        <w:spacing w:after="0" w:line="240" w:lineRule="auto"/>
        <w:rPr>
          <w:rFonts w:cs="Microsoft Sans Serif"/>
        </w:rPr>
      </w:pPr>
      <w:r w:rsidRPr="00190C90">
        <w:rPr>
          <w:rFonts w:cs="Microsoft Sans Serif"/>
        </w:rPr>
        <w:t>Is the employee fit to attend an investigatory or disciplinary process</w:t>
      </w:r>
      <w:r w:rsidR="0064124A">
        <w:rPr>
          <w:rFonts w:cs="Microsoft Sans Serif"/>
        </w:rPr>
        <w:t xml:space="preserve"> or meetings</w:t>
      </w:r>
      <w:r w:rsidRPr="00190C90">
        <w:rPr>
          <w:rFonts w:cs="Microsoft Sans Serif"/>
        </w:rPr>
        <w:t>?</w:t>
      </w:r>
    </w:p>
    <w:p w14:paraId="2EB6B327" w14:textId="77777777" w:rsidR="007D1119" w:rsidRDefault="00AB37F0" w:rsidP="007D1119">
      <w:pPr>
        <w:numPr>
          <w:ilvl w:val="0"/>
          <w:numId w:val="21"/>
        </w:numPr>
        <w:spacing w:after="0" w:line="240" w:lineRule="auto"/>
        <w:rPr>
          <w:rFonts w:cs="Microsoft Sans Serif"/>
        </w:rPr>
      </w:pPr>
      <w:r>
        <w:rPr>
          <w:rFonts w:cs="Microsoft Sans Serif"/>
        </w:rPr>
        <w:t>Is</w:t>
      </w:r>
      <w:r w:rsidR="007D1119" w:rsidRPr="00190C90">
        <w:rPr>
          <w:rFonts w:cs="Microsoft Sans Serif"/>
        </w:rPr>
        <w:t xml:space="preserve"> the employee </w:t>
      </w:r>
      <w:r>
        <w:rPr>
          <w:rFonts w:cs="Microsoft Sans Serif"/>
        </w:rPr>
        <w:t xml:space="preserve">likely to </w:t>
      </w:r>
      <w:r w:rsidR="007D1119" w:rsidRPr="00190C90">
        <w:rPr>
          <w:rFonts w:cs="Microsoft Sans Serif"/>
        </w:rPr>
        <w:t xml:space="preserve">meet </w:t>
      </w:r>
      <w:r>
        <w:rPr>
          <w:rFonts w:cs="Microsoft Sans Serif"/>
        </w:rPr>
        <w:t>ill health retirement</w:t>
      </w:r>
      <w:r w:rsidR="007D1119" w:rsidRPr="00190C90">
        <w:rPr>
          <w:rFonts w:cs="Microsoft Sans Serif"/>
        </w:rPr>
        <w:t xml:space="preserve"> criteria or income protection benefit criteria?</w:t>
      </w:r>
    </w:p>
    <w:p w14:paraId="3203AC46" w14:textId="02106A7D" w:rsidR="007D1119" w:rsidRPr="00190C90" w:rsidRDefault="007D1119" w:rsidP="007D1119">
      <w:pPr>
        <w:rPr>
          <w:rFonts w:cs="Microsoft Sans Serif"/>
        </w:rPr>
      </w:pPr>
      <w:r>
        <w:rPr>
          <w:rFonts w:cs="Microsoft Sans Serif"/>
        </w:rPr>
        <w:br/>
      </w:r>
      <w:r w:rsidR="0064124A">
        <w:rPr>
          <w:rFonts w:cs="Microsoft Sans Serif"/>
        </w:rPr>
        <w:t>Please b</w:t>
      </w:r>
      <w:r w:rsidRPr="00190C90">
        <w:rPr>
          <w:rFonts w:cs="Microsoft Sans Serif"/>
        </w:rPr>
        <w:t>e specific about what you are asking for.</w:t>
      </w:r>
    </w:p>
    <w:p w14:paraId="51F4B4E2" w14:textId="77777777" w:rsidR="007D1119" w:rsidRPr="00190C90" w:rsidRDefault="007D1119" w:rsidP="007D1119">
      <w:pPr>
        <w:rPr>
          <w:rFonts w:cs="Microsoft Sans Serif"/>
        </w:rPr>
      </w:pPr>
      <w:r w:rsidRPr="00190C90">
        <w:rPr>
          <w:rFonts w:cs="Microsoft Sans Serif"/>
          <w:b/>
        </w:rPr>
        <w:t>Report to the Referring Manager and Confidentiality</w:t>
      </w:r>
    </w:p>
    <w:p w14:paraId="33CC342E" w14:textId="2DBDDE8F" w:rsidR="007D1119" w:rsidRPr="00190C90" w:rsidRDefault="007D1119" w:rsidP="007D1119">
      <w:pPr>
        <w:rPr>
          <w:rFonts w:cs="Microsoft Sans Serif"/>
        </w:rPr>
      </w:pPr>
      <w:r w:rsidRPr="00190C90">
        <w:rPr>
          <w:rFonts w:cs="Microsoft Sans Serif"/>
        </w:rPr>
        <w:t>Confidentiality is a cornerstone to the assessment proce</w:t>
      </w:r>
      <w:r w:rsidR="00AB37F0">
        <w:rPr>
          <w:rFonts w:cs="Microsoft Sans Serif"/>
        </w:rPr>
        <w:t xml:space="preserve">ss but this need not inhibit </w:t>
      </w:r>
      <w:r w:rsidRPr="00190C90">
        <w:rPr>
          <w:rFonts w:cs="Microsoft Sans Serif"/>
        </w:rPr>
        <w:t>the quality of advice provided to managers.  It is a requirement for all doctors to respect patient confidentiality, and this is made clear in G</w:t>
      </w:r>
      <w:r w:rsidR="0064124A">
        <w:rPr>
          <w:rFonts w:cs="Microsoft Sans Serif"/>
        </w:rPr>
        <w:t xml:space="preserve">eneral Medical Council </w:t>
      </w:r>
      <w:r w:rsidRPr="00190C90">
        <w:rPr>
          <w:rFonts w:cs="Microsoft Sans Serif"/>
        </w:rPr>
        <w:t>and Faculty of Occupational Medicine guidance.  Breach of patient confidentiality is a professional misconduct issue.</w:t>
      </w:r>
    </w:p>
    <w:p w14:paraId="3BFAA46C" w14:textId="42BB1CAC" w:rsidR="007D1119" w:rsidRPr="00190C90" w:rsidRDefault="007D1119" w:rsidP="007D1119">
      <w:pPr>
        <w:rPr>
          <w:rFonts w:cs="Microsoft Sans Serif"/>
        </w:rPr>
      </w:pPr>
      <w:r w:rsidRPr="00190C90">
        <w:rPr>
          <w:rFonts w:cs="Microsoft Sans Serif"/>
        </w:rPr>
        <w:lastRenderedPageBreak/>
        <w:t xml:space="preserve">If employees do not believe an occupational health assessment process to be medically confidential, then they are unlikely to be honest and open about health issues and this </w:t>
      </w:r>
      <w:r w:rsidR="00AB5AC0">
        <w:rPr>
          <w:rFonts w:cs="Microsoft Sans Serif"/>
        </w:rPr>
        <w:t xml:space="preserve">may substantially </w:t>
      </w:r>
      <w:r w:rsidRPr="00190C90">
        <w:rPr>
          <w:rFonts w:cs="Microsoft Sans Serif"/>
        </w:rPr>
        <w:t>undermine the effectiveness of the process.</w:t>
      </w:r>
    </w:p>
    <w:p w14:paraId="1982A9AA" w14:textId="77777777" w:rsidR="007D1119" w:rsidRDefault="007D1119" w:rsidP="007D1119">
      <w:pPr>
        <w:rPr>
          <w:rFonts w:cs="Microsoft Sans Serif"/>
        </w:rPr>
      </w:pPr>
      <w:r w:rsidRPr="00190C90">
        <w:rPr>
          <w:rFonts w:cs="Microsoft Sans Serif"/>
        </w:rPr>
        <w:t>Hence, when reporting to management, confidential clinical details are usually omitted unless expressly permitted by the referred employee, or already disclosed to employer by employee.  However it is possible to provide responses to the questions asked without releasing confidential information.  For example, a manager can resolve a health related issue without knowing the actual diagnosis as long as they understand some of the key functional issues and what they can do to assist.</w:t>
      </w:r>
      <w:r w:rsidR="00AB37F0">
        <w:rPr>
          <w:rFonts w:cs="Microsoft Sans Serif"/>
        </w:rPr>
        <w:t xml:space="preserve"> </w:t>
      </w:r>
    </w:p>
    <w:p w14:paraId="44B39DD9" w14:textId="10E109EA" w:rsidR="00AB37F0" w:rsidRPr="00190C90" w:rsidRDefault="00AB37F0" w:rsidP="007D1119">
      <w:pPr>
        <w:rPr>
          <w:rFonts w:cs="Microsoft Sans Serif"/>
          <w:b/>
        </w:rPr>
      </w:pPr>
      <w:r>
        <w:rPr>
          <w:rFonts w:cs="Microsoft Sans Serif"/>
        </w:rPr>
        <w:t xml:space="preserve">Please also be mindful that current guidance relating to independent medical examinations recommends that doctors should offer the employee the opportunity to preview the report going to the manager. The principle is to avoid surprises.  </w:t>
      </w:r>
      <w:r w:rsidR="007D788C">
        <w:rPr>
          <w:rFonts w:cs="Microsoft Sans Serif"/>
        </w:rPr>
        <w:t>We always encourage employees to allow reports to go to managers; managers may take business decisions without the benefit of occupational health advice if they do not get a report, and this may not work in the employee’s favour.</w:t>
      </w:r>
    </w:p>
    <w:p w14:paraId="39BB656D" w14:textId="77777777" w:rsidR="007D1119" w:rsidRPr="00190C90" w:rsidRDefault="007D1119" w:rsidP="007D1119">
      <w:pPr>
        <w:rPr>
          <w:rFonts w:cs="Microsoft Sans Serif"/>
        </w:rPr>
      </w:pPr>
      <w:r w:rsidRPr="00190C90">
        <w:rPr>
          <w:rFonts w:cs="Microsoft Sans Serif"/>
          <w:b/>
        </w:rPr>
        <w:t>Employee Perceptions vs</w:t>
      </w:r>
      <w:r w:rsidR="00AB37F0">
        <w:rPr>
          <w:rFonts w:cs="Microsoft Sans Serif"/>
          <w:b/>
        </w:rPr>
        <w:t>.</w:t>
      </w:r>
      <w:r w:rsidRPr="00190C90">
        <w:rPr>
          <w:rFonts w:cs="Microsoft Sans Serif"/>
          <w:b/>
        </w:rPr>
        <w:t xml:space="preserve"> Management Perceptions</w:t>
      </w:r>
    </w:p>
    <w:p w14:paraId="652EC709" w14:textId="77777777" w:rsidR="007D1119" w:rsidRPr="00190C90" w:rsidRDefault="007D1119" w:rsidP="007D1119">
      <w:pPr>
        <w:rPr>
          <w:rFonts w:cs="Microsoft Sans Serif"/>
        </w:rPr>
      </w:pPr>
      <w:r w:rsidRPr="00190C90">
        <w:rPr>
          <w:rFonts w:cs="Microsoft Sans Serif"/>
        </w:rPr>
        <w:t>One common area of concern, particularly where there may be work-related problems suspected, is being able to determine the “truth” about causation and work.  Very often an employee will express their perceptions that lead them to believe work has caused their illness, while management may have a different view and have concerns that employee perceptions are accepted at face value by the assessing physician.</w:t>
      </w:r>
    </w:p>
    <w:p w14:paraId="4E968633" w14:textId="77777777" w:rsidR="007D1119" w:rsidRPr="00190C90" w:rsidRDefault="007D1119" w:rsidP="007D1119">
      <w:pPr>
        <w:rPr>
          <w:rFonts w:cs="Microsoft Sans Serif"/>
        </w:rPr>
      </w:pPr>
      <w:r w:rsidRPr="00190C90">
        <w:rPr>
          <w:rFonts w:cs="Microsoft Sans Serif"/>
        </w:rPr>
        <w:t>Common problem areas in this respect include:</w:t>
      </w:r>
    </w:p>
    <w:p w14:paraId="7FA73BDF" w14:textId="77777777" w:rsidR="007D1119" w:rsidRPr="00190C90" w:rsidRDefault="007D1119" w:rsidP="007D1119">
      <w:pPr>
        <w:numPr>
          <w:ilvl w:val="0"/>
          <w:numId w:val="22"/>
        </w:numPr>
        <w:spacing w:after="0" w:line="240" w:lineRule="auto"/>
        <w:rPr>
          <w:rFonts w:cs="Microsoft Sans Serif"/>
        </w:rPr>
      </w:pPr>
      <w:r w:rsidRPr="00190C90">
        <w:rPr>
          <w:rFonts w:cs="Microsoft Sans Serif"/>
        </w:rPr>
        <w:t>Employees rarely accept that their performance is suboptimal, whereas management may take a different view.</w:t>
      </w:r>
    </w:p>
    <w:p w14:paraId="4DB0E90D" w14:textId="77777777" w:rsidR="007D1119" w:rsidRPr="00190C90" w:rsidRDefault="007D1119" w:rsidP="007D1119">
      <w:pPr>
        <w:numPr>
          <w:ilvl w:val="0"/>
          <w:numId w:val="22"/>
        </w:numPr>
        <w:spacing w:after="0" w:line="240" w:lineRule="auto"/>
        <w:rPr>
          <w:rFonts w:cs="Microsoft Sans Serif"/>
        </w:rPr>
      </w:pPr>
      <w:r w:rsidRPr="00190C90">
        <w:rPr>
          <w:rFonts w:cs="Microsoft Sans Serif"/>
        </w:rPr>
        <w:t>In cases of “stress”, employers are often concerned that employees and their GPs have too easily attributed the cause to work.</w:t>
      </w:r>
    </w:p>
    <w:p w14:paraId="16E96820" w14:textId="77777777" w:rsidR="007D1119" w:rsidRPr="00190C90" w:rsidRDefault="007D1119" w:rsidP="007D1119">
      <w:pPr>
        <w:numPr>
          <w:ilvl w:val="0"/>
          <w:numId w:val="22"/>
        </w:numPr>
        <w:spacing w:after="0" w:line="240" w:lineRule="auto"/>
        <w:rPr>
          <w:rFonts w:cs="Microsoft Sans Serif"/>
        </w:rPr>
      </w:pPr>
      <w:r w:rsidRPr="00190C90">
        <w:rPr>
          <w:rFonts w:cs="Microsoft Sans Serif"/>
        </w:rPr>
        <w:t>Assessing whether an employee is really unwell with “stress” or whether they have removed themselves from the workplace in response to a situational difficultly that could be resolved through management action i.e. not really a medical problem.</w:t>
      </w:r>
    </w:p>
    <w:p w14:paraId="134C4348" w14:textId="77777777" w:rsidR="007D1119" w:rsidRPr="00190C90" w:rsidRDefault="007D1119" w:rsidP="007D1119">
      <w:pPr>
        <w:rPr>
          <w:rFonts w:cs="Microsoft Sans Serif"/>
        </w:rPr>
      </w:pPr>
    </w:p>
    <w:p w14:paraId="6FBDE8B6" w14:textId="77777777" w:rsidR="007D1119" w:rsidRPr="00190C90" w:rsidRDefault="007D1119" w:rsidP="007D1119">
      <w:pPr>
        <w:rPr>
          <w:rFonts w:cs="Microsoft Sans Serif"/>
        </w:rPr>
      </w:pPr>
      <w:r w:rsidRPr="00190C90">
        <w:rPr>
          <w:rFonts w:cs="Microsoft Sans Serif"/>
        </w:rPr>
        <w:t>This highlights the need for referring managers to provide sufficient detail in their referral form, to enable the assessing physician to obtain a broad view of the problem.</w:t>
      </w:r>
    </w:p>
    <w:p w14:paraId="639579DD" w14:textId="77777777" w:rsidR="007D1119" w:rsidRPr="00190C90" w:rsidRDefault="007D1119" w:rsidP="007D1119">
      <w:pPr>
        <w:rPr>
          <w:rFonts w:cs="Microsoft Sans Serif"/>
        </w:rPr>
      </w:pPr>
      <w:r w:rsidRPr="00190C90">
        <w:rPr>
          <w:rFonts w:cs="Microsoft Sans Serif"/>
        </w:rPr>
        <w:lastRenderedPageBreak/>
        <w:t>Assessing physicians do test employee perceptions and do not take them at face value.  Their role is to independently assess the situation taking into account their experience in dealing with occupational issues and their knowledge of the workplace.  This normally provides a more balanced view of the problem, one that will stand up to scrutiny and challenge.</w:t>
      </w:r>
    </w:p>
    <w:p w14:paraId="7870F4EA" w14:textId="77777777" w:rsidR="007D1119" w:rsidRPr="00190C90" w:rsidRDefault="007D1119" w:rsidP="007D1119">
      <w:pPr>
        <w:rPr>
          <w:rFonts w:cs="Microsoft Sans Serif"/>
        </w:rPr>
      </w:pPr>
      <w:r w:rsidRPr="00190C90">
        <w:rPr>
          <w:rFonts w:cs="Microsoft Sans Serif"/>
          <w:b/>
        </w:rPr>
        <w:t>Additional Medical Information</w:t>
      </w:r>
    </w:p>
    <w:p w14:paraId="2070A8D9" w14:textId="5E0E1F2D" w:rsidR="007D1119" w:rsidRPr="00190C90" w:rsidRDefault="007D1119" w:rsidP="007D1119">
      <w:pPr>
        <w:rPr>
          <w:rFonts w:cs="Microsoft Sans Serif"/>
        </w:rPr>
      </w:pPr>
      <w:r w:rsidRPr="00190C90">
        <w:rPr>
          <w:rFonts w:cs="Microsoft Sans Serif"/>
        </w:rPr>
        <w:t xml:space="preserve">In some cases it is necessary to obtain further medical information in the form of a report from the employee’s GP or </w:t>
      </w:r>
      <w:r w:rsidR="0067623D">
        <w:rPr>
          <w:rFonts w:cs="Microsoft Sans Serif"/>
        </w:rPr>
        <w:t xml:space="preserve">hospital </w:t>
      </w:r>
      <w:r w:rsidRPr="00190C90">
        <w:rPr>
          <w:rFonts w:cs="Microsoft Sans Serif"/>
        </w:rPr>
        <w:t xml:space="preserve">specialist.  This is only done where there are clear benefits in doing so such as where specific medical information will influence the view of prognosis or alter advice provided to the manager.  In some </w:t>
      </w:r>
      <w:r w:rsidR="00EB294F" w:rsidRPr="00190C90">
        <w:rPr>
          <w:rFonts w:cs="Microsoft Sans Serif"/>
        </w:rPr>
        <w:t>cases,</w:t>
      </w:r>
      <w:r w:rsidRPr="00190C90">
        <w:rPr>
          <w:rFonts w:cs="Microsoft Sans Serif"/>
        </w:rPr>
        <w:t xml:space="preserve"> it may be required to corroborate aspects of the </w:t>
      </w:r>
      <w:r w:rsidR="00723FF4">
        <w:rPr>
          <w:rFonts w:cs="Microsoft Sans Serif"/>
        </w:rPr>
        <w:t xml:space="preserve">employee’s </w:t>
      </w:r>
      <w:r w:rsidRPr="00190C90">
        <w:rPr>
          <w:rFonts w:cs="Microsoft Sans Serif"/>
        </w:rPr>
        <w:t xml:space="preserve">history or to clarify issues </w:t>
      </w:r>
      <w:r w:rsidR="00723FF4">
        <w:rPr>
          <w:rFonts w:cs="Microsoft Sans Serif"/>
        </w:rPr>
        <w:t xml:space="preserve">that </w:t>
      </w:r>
      <w:r w:rsidRPr="00190C90">
        <w:rPr>
          <w:rFonts w:cs="Microsoft Sans Serif"/>
        </w:rPr>
        <w:t xml:space="preserve">the employee may not be able to </w:t>
      </w:r>
      <w:r w:rsidR="00723FF4">
        <w:rPr>
          <w:rFonts w:cs="Microsoft Sans Serif"/>
        </w:rPr>
        <w:t xml:space="preserve">explain </w:t>
      </w:r>
      <w:r w:rsidRPr="00190C90">
        <w:rPr>
          <w:rFonts w:cs="Microsoft Sans Serif"/>
        </w:rPr>
        <w:t>in sufficient detail.</w:t>
      </w:r>
    </w:p>
    <w:p w14:paraId="1D0A5FC8" w14:textId="77777777" w:rsidR="007D1119" w:rsidRPr="00190C90" w:rsidRDefault="007D1119" w:rsidP="007D1119">
      <w:pPr>
        <w:rPr>
          <w:rFonts w:cs="Microsoft Sans Serif"/>
        </w:rPr>
      </w:pPr>
      <w:r w:rsidRPr="00190C90">
        <w:rPr>
          <w:rFonts w:cs="Microsoft Sans Serif"/>
        </w:rPr>
        <w:t>Where this is required permission will be sought from the referring manager to action such a request, as this will incur additional cost.  The reasons for the request will always be made clear to the referring manager.</w:t>
      </w:r>
    </w:p>
    <w:p w14:paraId="3209320E" w14:textId="77777777" w:rsidR="00EB294F" w:rsidRDefault="00EB294F" w:rsidP="007D1119">
      <w:pPr>
        <w:jc w:val="center"/>
        <w:rPr>
          <w:rFonts w:cs="Microsoft Sans Serif"/>
          <w:b/>
        </w:rPr>
      </w:pPr>
    </w:p>
    <w:p w14:paraId="25D217FB" w14:textId="77777777" w:rsidR="00EB294F" w:rsidRDefault="00EB294F">
      <w:pPr>
        <w:rPr>
          <w:rFonts w:cs="Microsoft Sans Serif"/>
          <w:b/>
        </w:rPr>
      </w:pPr>
      <w:r>
        <w:rPr>
          <w:rFonts w:cs="Microsoft Sans Serif"/>
          <w:b/>
        </w:rPr>
        <w:br w:type="page"/>
      </w:r>
    </w:p>
    <w:p w14:paraId="07EECA4F" w14:textId="1C42E83B" w:rsidR="007D1119" w:rsidRPr="00190C90" w:rsidRDefault="007D1119" w:rsidP="007D1119">
      <w:pPr>
        <w:jc w:val="center"/>
        <w:rPr>
          <w:rFonts w:cs="Microsoft Sans Serif"/>
        </w:rPr>
      </w:pPr>
      <w:r w:rsidRPr="00190C90">
        <w:rPr>
          <w:rFonts w:cs="Microsoft Sans Serif"/>
          <w:b/>
        </w:rPr>
        <w:lastRenderedPageBreak/>
        <w:t>Management Referral Process Flow</w:t>
      </w:r>
      <w:r w:rsidR="00723FF4">
        <w:rPr>
          <w:rFonts w:cs="Microsoft Sans Serif"/>
          <w:b/>
        </w:rPr>
        <w:t xml:space="preserve"> Chart</w:t>
      </w:r>
    </w:p>
    <w:p w14:paraId="6ED3EF2B" w14:textId="77777777" w:rsidR="007D1119" w:rsidRPr="00190C90" w:rsidRDefault="00AB37F0" w:rsidP="007D1119">
      <w:pPr>
        <w:rPr>
          <w:rFonts w:cs="Microsoft Sans Serif"/>
        </w:rPr>
      </w:pPr>
      <w:r>
        <w:rPr>
          <w:rFonts w:cs="Microsoft Sans Serif"/>
          <w:noProof/>
          <w:lang w:eastAsia="en-GB"/>
        </w:rPr>
        <mc:AlternateContent>
          <mc:Choice Requires="wpg">
            <w:drawing>
              <wp:inline distT="0" distB="0" distL="0" distR="0" wp14:anchorId="2129C0FC" wp14:editId="6FD1D634">
                <wp:extent cx="6057900" cy="6293674"/>
                <wp:effectExtent l="0" t="0" r="0" b="12065"/>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57900" cy="6293674"/>
                          <a:chOff x="2343" y="1041"/>
                          <a:chExt cx="7950" cy="8497"/>
                        </a:xfrm>
                      </wpg:grpSpPr>
                      <wps:wsp>
                        <wps:cNvPr id="2" name="AutoShape 3"/>
                        <wps:cNvSpPr>
                          <a:spLocks noChangeAspect="1" noChangeArrowheads="1" noTextEdit="1"/>
                        </wps:cNvSpPr>
                        <wps:spPr bwMode="auto">
                          <a:xfrm>
                            <a:off x="2343" y="1041"/>
                            <a:ext cx="7950" cy="8333"/>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noChangeArrowheads="1"/>
                        </wps:cNvSpPr>
                        <wps:spPr bwMode="auto">
                          <a:xfrm>
                            <a:off x="2793" y="1504"/>
                            <a:ext cx="1950" cy="1169"/>
                          </a:xfrm>
                          <a:prstGeom prst="flowChartAlternateProcess">
                            <a:avLst/>
                          </a:prstGeom>
                          <a:solidFill>
                            <a:srgbClr val="C0C0C0">
                              <a:alpha val="50000"/>
                            </a:srgbClr>
                          </a:solidFill>
                          <a:ln w="9525">
                            <a:solidFill>
                              <a:srgbClr val="000000"/>
                            </a:solidFill>
                            <a:miter lim="800000"/>
                            <a:headEnd/>
                            <a:tailEnd/>
                          </a:ln>
                        </wps:spPr>
                        <wps:txbx>
                          <w:txbxContent>
                            <w:p w14:paraId="21CA4766"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Manager identifies a problem requiring</w:t>
                              </w:r>
                              <w:r w:rsidR="00AB37F0">
                                <w:rPr>
                                  <w:rFonts w:ascii="Calibri" w:hAnsi="Calibri" w:cs="Microsoft Sans Serif"/>
                                  <w:b/>
                                </w:rPr>
                                <w:t xml:space="preserve"> OH </w:t>
                              </w:r>
                              <w:r w:rsidRPr="00BB0558">
                                <w:rPr>
                                  <w:rFonts w:ascii="Calibri" w:hAnsi="Calibri" w:cs="Microsoft Sans Serif"/>
                                  <w:b/>
                                </w:rPr>
                                <w:t xml:space="preserve"> referral</w:t>
                              </w:r>
                            </w:p>
                          </w:txbxContent>
                        </wps:txbx>
                        <wps:bodyPr rot="0" vert="horz" wrap="square" lIns="91440" tIns="45720" rIns="91440" bIns="45720" anchor="t" anchorCtr="0" upright="1">
                          <a:noAutofit/>
                        </wps:bodyPr>
                      </wps:wsp>
                      <wps:wsp>
                        <wps:cNvPr id="5" name="AutoShape 5"/>
                        <wps:cNvSpPr>
                          <a:spLocks noChangeArrowheads="1"/>
                        </wps:cNvSpPr>
                        <wps:spPr bwMode="auto">
                          <a:xfrm>
                            <a:off x="5493" y="1504"/>
                            <a:ext cx="2550" cy="927"/>
                          </a:xfrm>
                          <a:prstGeom prst="flowChartAlternateProcess">
                            <a:avLst/>
                          </a:prstGeom>
                          <a:solidFill>
                            <a:srgbClr val="C0C0C0">
                              <a:alpha val="50000"/>
                            </a:srgbClr>
                          </a:solidFill>
                          <a:ln w="9525">
                            <a:solidFill>
                              <a:srgbClr val="000000"/>
                            </a:solidFill>
                            <a:miter lim="800000"/>
                            <a:headEnd/>
                            <a:tailEnd/>
                          </a:ln>
                        </wps:spPr>
                        <wps:txbx>
                          <w:txbxContent>
                            <w:p w14:paraId="757FE097"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Discusses</w:t>
                              </w:r>
                              <w:r w:rsidRPr="0088699A">
                                <w:rPr>
                                  <w:rFonts w:ascii="Microsoft Sans Serif" w:hAnsi="Microsoft Sans Serif" w:cs="Microsoft Sans Serif"/>
                                  <w:b/>
                                </w:rPr>
                                <w:t xml:space="preserve"> </w:t>
                              </w:r>
                              <w:r w:rsidRPr="00BB0558">
                                <w:rPr>
                                  <w:rFonts w:ascii="Calibri" w:hAnsi="Calibri" w:cs="Microsoft Sans Serif"/>
                                  <w:b/>
                                </w:rPr>
                                <w:t>with employee and notifies of referral to OH service</w:t>
                              </w:r>
                            </w:p>
                          </w:txbxContent>
                        </wps:txbx>
                        <wps:bodyPr rot="0" vert="horz" wrap="square" lIns="91440" tIns="45720" rIns="91440" bIns="45720" anchor="t" anchorCtr="0" upright="1">
                          <a:noAutofit/>
                        </wps:bodyPr>
                      </wps:wsp>
                      <wps:wsp>
                        <wps:cNvPr id="6" name="AutoShape 6"/>
                        <wps:cNvSpPr>
                          <a:spLocks noChangeArrowheads="1"/>
                        </wps:cNvSpPr>
                        <wps:spPr bwMode="auto">
                          <a:xfrm>
                            <a:off x="5493" y="3201"/>
                            <a:ext cx="2250" cy="1554"/>
                          </a:xfrm>
                          <a:prstGeom prst="flowChartAlternateProcess">
                            <a:avLst/>
                          </a:prstGeom>
                          <a:solidFill>
                            <a:srgbClr val="C0C0C0">
                              <a:alpha val="50000"/>
                            </a:srgbClr>
                          </a:solidFill>
                          <a:ln w="9525">
                            <a:solidFill>
                              <a:srgbClr val="000000"/>
                            </a:solidFill>
                            <a:miter lim="800000"/>
                            <a:headEnd/>
                            <a:tailEnd/>
                          </a:ln>
                        </wps:spPr>
                        <wps:txbx>
                          <w:txbxContent>
                            <w:p w14:paraId="07C7CF91" w14:textId="28994484" w:rsidR="007D1119" w:rsidRPr="00BB0558" w:rsidRDefault="007D1119" w:rsidP="007D1119">
                              <w:pPr>
                                <w:jc w:val="center"/>
                                <w:rPr>
                                  <w:rFonts w:ascii="Calibri" w:hAnsi="Calibri" w:cs="Microsoft Sans Serif"/>
                                  <w:b/>
                                </w:rPr>
                              </w:pPr>
                              <w:r w:rsidRPr="00BB0558">
                                <w:rPr>
                                  <w:rFonts w:ascii="Calibri" w:hAnsi="Calibri" w:cs="Microsoft Sans Serif"/>
                                  <w:b/>
                                </w:rPr>
                                <w:t>Manager completes referral form and sends to TOPHS Ltd</w:t>
                              </w:r>
                              <w:r w:rsidR="0030271C">
                                <w:rPr>
                                  <w:rFonts w:ascii="Calibri" w:hAnsi="Calibri" w:cs="Microsoft Sans Serif"/>
                                  <w:b/>
                                </w:rPr>
                                <w:t>, with a copy to employee</w:t>
                              </w:r>
                            </w:p>
                          </w:txbxContent>
                        </wps:txbx>
                        <wps:bodyPr rot="0" vert="horz" wrap="square" lIns="91440" tIns="45720" rIns="91440" bIns="45720" anchor="t" anchorCtr="0" upright="1">
                          <a:noAutofit/>
                        </wps:bodyPr>
                      </wps:wsp>
                      <wps:wsp>
                        <wps:cNvPr id="7" name="AutoShape 7"/>
                        <wps:cNvSpPr>
                          <a:spLocks noChangeArrowheads="1"/>
                        </wps:cNvSpPr>
                        <wps:spPr bwMode="auto">
                          <a:xfrm>
                            <a:off x="2793" y="3201"/>
                            <a:ext cx="2025" cy="1081"/>
                          </a:xfrm>
                          <a:prstGeom prst="flowChartAlternateProcess">
                            <a:avLst/>
                          </a:prstGeom>
                          <a:solidFill>
                            <a:srgbClr val="C0C0C0">
                              <a:alpha val="50000"/>
                            </a:srgbClr>
                          </a:solidFill>
                          <a:ln w="9525">
                            <a:solidFill>
                              <a:srgbClr val="000000"/>
                            </a:solidFill>
                            <a:miter lim="800000"/>
                            <a:headEnd/>
                            <a:tailEnd/>
                          </a:ln>
                        </wps:spPr>
                        <wps:txbx>
                          <w:txbxContent>
                            <w:p w14:paraId="22F38E79"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Appointment time, date and location confirmed to referring manager</w:t>
                              </w:r>
                            </w:p>
                          </w:txbxContent>
                        </wps:txbx>
                        <wps:bodyPr rot="0" vert="horz" wrap="square" lIns="91440" tIns="45720" rIns="91440" bIns="45720" anchor="t" anchorCtr="0" upright="1">
                          <a:noAutofit/>
                        </wps:bodyPr>
                      </wps:wsp>
                      <wps:wsp>
                        <wps:cNvPr id="8" name="AutoShape 8"/>
                        <wps:cNvSpPr>
                          <a:spLocks noChangeArrowheads="1"/>
                        </wps:cNvSpPr>
                        <wps:spPr bwMode="auto">
                          <a:xfrm>
                            <a:off x="2793" y="5053"/>
                            <a:ext cx="1950" cy="1324"/>
                          </a:xfrm>
                          <a:prstGeom prst="flowChartAlternateProcess">
                            <a:avLst/>
                          </a:prstGeom>
                          <a:solidFill>
                            <a:srgbClr val="C0C0C0">
                              <a:alpha val="50000"/>
                            </a:srgbClr>
                          </a:solidFill>
                          <a:ln w="9525">
                            <a:solidFill>
                              <a:srgbClr val="000000"/>
                            </a:solidFill>
                            <a:miter lim="800000"/>
                            <a:headEnd/>
                            <a:tailEnd/>
                          </a:ln>
                        </wps:spPr>
                        <wps:txbx>
                          <w:txbxContent>
                            <w:p w14:paraId="3DDF5D66"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Manager notifies employee of appointment details</w:t>
                              </w:r>
                            </w:p>
                          </w:txbxContent>
                        </wps:txbx>
                        <wps:bodyPr rot="0" vert="horz" wrap="square" lIns="91440" tIns="45720" rIns="91440" bIns="45720" anchor="t" anchorCtr="0" upright="1">
                          <a:noAutofit/>
                        </wps:bodyPr>
                      </wps:wsp>
                      <wps:wsp>
                        <wps:cNvPr id="9" name="AutoShape 9"/>
                        <wps:cNvSpPr>
                          <a:spLocks noChangeArrowheads="1"/>
                        </wps:cNvSpPr>
                        <wps:spPr bwMode="auto">
                          <a:xfrm>
                            <a:off x="8411" y="1542"/>
                            <a:ext cx="1801" cy="1388"/>
                          </a:xfrm>
                          <a:prstGeom prst="flowChartProcess">
                            <a:avLst/>
                          </a:prstGeom>
                          <a:solidFill>
                            <a:srgbClr val="FFFFFF"/>
                          </a:solidFill>
                          <a:ln w="9525">
                            <a:solidFill>
                              <a:srgbClr val="000000"/>
                            </a:solidFill>
                            <a:miter lim="800000"/>
                            <a:headEnd/>
                            <a:tailEnd/>
                          </a:ln>
                        </wps:spPr>
                        <wps:txbx>
                          <w:txbxContent>
                            <w:p w14:paraId="00C73E81" w14:textId="77777777" w:rsidR="007D1119" w:rsidRPr="00BB0558" w:rsidRDefault="007D1119" w:rsidP="007D1119">
                              <w:pPr>
                                <w:jc w:val="center"/>
                                <w:rPr>
                                  <w:rFonts w:ascii="Calibri" w:hAnsi="Calibri" w:cs="Microsoft Sans Serif"/>
                                </w:rPr>
                              </w:pPr>
                              <w:r w:rsidRPr="00BB0558">
                                <w:rPr>
                                  <w:rFonts w:ascii="Calibri" w:hAnsi="Calibri" w:cs="Microsoft Sans Serif"/>
                                </w:rPr>
                                <w:t>Provides information on referral process</w:t>
                              </w:r>
                              <w:r w:rsidR="00EB294F">
                                <w:rPr>
                                  <w:rFonts w:ascii="Calibri" w:hAnsi="Calibri" w:cs="Microsoft Sans Serif"/>
                                </w:rPr>
                                <w:t xml:space="preserve"> &amp; reason for referral </w:t>
                              </w:r>
                            </w:p>
                          </w:txbxContent>
                        </wps:txbx>
                        <wps:bodyPr rot="0" vert="horz" wrap="square" lIns="91440" tIns="45720" rIns="91440" bIns="45720" anchor="t" anchorCtr="0" upright="1">
                          <a:noAutofit/>
                        </wps:bodyPr>
                      </wps:wsp>
                      <wps:wsp>
                        <wps:cNvPr id="10" name="AutoShape 10"/>
                        <wps:cNvSpPr>
                          <a:spLocks noChangeArrowheads="1"/>
                        </wps:cNvSpPr>
                        <wps:spPr bwMode="auto">
                          <a:xfrm>
                            <a:off x="5493" y="5053"/>
                            <a:ext cx="2250" cy="1170"/>
                          </a:xfrm>
                          <a:prstGeom prst="flowChartAlternateProcess">
                            <a:avLst/>
                          </a:prstGeom>
                          <a:solidFill>
                            <a:srgbClr val="C0C0C0">
                              <a:alpha val="50000"/>
                            </a:srgbClr>
                          </a:solidFill>
                          <a:ln w="9525">
                            <a:solidFill>
                              <a:srgbClr val="000000"/>
                            </a:solidFill>
                            <a:miter lim="800000"/>
                            <a:headEnd/>
                            <a:tailEnd/>
                          </a:ln>
                        </wps:spPr>
                        <wps:txbx>
                          <w:txbxContent>
                            <w:p w14:paraId="2F41E459"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Employee assessed at consultation</w:t>
                              </w:r>
                            </w:p>
                          </w:txbxContent>
                        </wps:txbx>
                        <wps:bodyPr rot="0" vert="horz" wrap="square" lIns="91440" tIns="45720" rIns="91440" bIns="45720" anchor="t" anchorCtr="0" upright="1">
                          <a:noAutofit/>
                        </wps:bodyPr>
                      </wps:wsp>
                      <wps:wsp>
                        <wps:cNvPr id="11" name="AutoShape 11"/>
                        <wps:cNvSpPr>
                          <a:spLocks noChangeArrowheads="1"/>
                        </wps:cNvSpPr>
                        <wps:spPr bwMode="auto">
                          <a:xfrm>
                            <a:off x="5323" y="6833"/>
                            <a:ext cx="4869" cy="1132"/>
                          </a:xfrm>
                          <a:prstGeom prst="flowChartAlternateProcess">
                            <a:avLst/>
                          </a:prstGeom>
                          <a:solidFill>
                            <a:srgbClr val="C0C0C0">
                              <a:alpha val="50000"/>
                            </a:srgbClr>
                          </a:solidFill>
                          <a:ln w="9525">
                            <a:solidFill>
                              <a:srgbClr val="000000"/>
                            </a:solidFill>
                            <a:miter lim="800000"/>
                            <a:headEnd/>
                            <a:tailEnd/>
                          </a:ln>
                        </wps:spPr>
                        <wps:txbx>
                          <w:txbxContent>
                            <w:p w14:paraId="302BFBA9" w14:textId="7ECAF0F3" w:rsidR="007D1119" w:rsidRPr="00BB0558" w:rsidRDefault="007D1119" w:rsidP="007D1119">
                              <w:pPr>
                                <w:jc w:val="center"/>
                                <w:rPr>
                                  <w:rFonts w:ascii="Calibri" w:hAnsi="Calibri" w:cs="Microsoft Sans Serif"/>
                                  <w:b/>
                                </w:rPr>
                              </w:pPr>
                              <w:r w:rsidRPr="00BB0558">
                                <w:rPr>
                                  <w:rFonts w:ascii="Calibri" w:hAnsi="Calibri" w:cs="Microsoft Sans Serif"/>
                                  <w:b/>
                                </w:rPr>
                                <w:t>Report issued to</w:t>
                              </w:r>
                              <w:r w:rsidR="00EB294F">
                                <w:rPr>
                                  <w:rFonts w:ascii="Calibri" w:hAnsi="Calibri" w:cs="Microsoft Sans Serif"/>
                                  <w:b/>
                                </w:rPr>
                                <w:t xml:space="preserve"> manager</w:t>
                              </w:r>
                              <w:r w:rsidRPr="00BB0558">
                                <w:rPr>
                                  <w:rFonts w:ascii="Calibri" w:hAnsi="Calibri" w:cs="Microsoft Sans Serif"/>
                                  <w:b/>
                                </w:rPr>
                                <w:t xml:space="preserve"> with recommendations and advice</w:t>
                              </w:r>
                              <w:r w:rsidR="00EB294F">
                                <w:rPr>
                                  <w:rFonts w:ascii="Calibri" w:hAnsi="Calibri" w:cs="Microsoft Sans Serif"/>
                                  <w:b/>
                                </w:rPr>
                                <w:t xml:space="preserve"> [with or without preview by employee]</w:t>
                              </w:r>
                              <w:r w:rsidR="0030271C">
                                <w:rPr>
                                  <w:rFonts w:ascii="Calibri" w:hAnsi="Calibri" w:cs="Microsoft Sans Serif"/>
                                  <w:b/>
                                </w:rPr>
                                <w:t xml:space="preserve"> if employee consents</w:t>
                              </w:r>
                            </w:p>
                          </w:txbxContent>
                        </wps:txbx>
                        <wps:bodyPr rot="0" vert="horz" wrap="square" lIns="91440" tIns="45720" rIns="91440" bIns="45720" anchor="t" anchorCtr="0" upright="1">
                          <a:noAutofit/>
                        </wps:bodyPr>
                      </wps:wsp>
                      <wps:wsp>
                        <wps:cNvPr id="12" name="AutoShape 12"/>
                        <wps:cNvSpPr>
                          <a:spLocks noChangeArrowheads="1"/>
                        </wps:cNvSpPr>
                        <wps:spPr bwMode="auto">
                          <a:xfrm>
                            <a:off x="2493" y="6905"/>
                            <a:ext cx="2180" cy="2633"/>
                          </a:xfrm>
                          <a:prstGeom prst="flowChartAlternateProcess">
                            <a:avLst/>
                          </a:prstGeom>
                          <a:solidFill>
                            <a:srgbClr val="C0C0C0">
                              <a:alpha val="50000"/>
                            </a:srgbClr>
                          </a:solidFill>
                          <a:ln w="9525">
                            <a:solidFill>
                              <a:srgbClr val="000000"/>
                            </a:solidFill>
                            <a:miter lim="800000"/>
                            <a:headEnd/>
                            <a:tailEnd/>
                          </a:ln>
                        </wps:spPr>
                        <wps:txbx>
                          <w:txbxContent>
                            <w:p w14:paraId="31F5016B" w14:textId="2E908EFF" w:rsidR="007D1119" w:rsidRPr="00BB0558" w:rsidRDefault="007D1119" w:rsidP="007D1119">
                              <w:pPr>
                                <w:jc w:val="center"/>
                                <w:rPr>
                                  <w:rFonts w:ascii="Calibri" w:hAnsi="Calibri" w:cs="Microsoft Sans Serif"/>
                                  <w:b/>
                                </w:rPr>
                              </w:pPr>
                              <w:r w:rsidRPr="00BB0558">
                                <w:rPr>
                                  <w:rFonts w:ascii="Calibri" w:hAnsi="Calibri" w:cs="Microsoft Sans Serif"/>
                                  <w:b/>
                                </w:rPr>
                                <w:t>Where required</w:t>
                              </w:r>
                              <w:r w:rsidR="00EA5C54">
                                <w:rPr>
                                  <w:rFonts w:ascii="Calibri" w:hAnsi="Calibri" w:cs="Microsoft Sans Serif"/>
                                  <w:b/>
                                </w:rPr>
                                <w:t xml:space="preserve">, </w:t>
                              </w:r>
                              <w:r w:rsidRPr="00BB0558">
                                <w:rPr>
                                  <w:rFonts w:ascii="Calibri" w:hAnsi="Calibri" w:cs="Microsoft Sans Serif"/>
                                  <w:b/>
                                </w:rPr>
                                <w:t xml:space="preserve"> seek further medical information from GP or specialist (after </w:t>
                              </w:r>
                              <w:r w:rsidR="00EA5C54">
                                <w:rPr>
                                  <w:rFonts w:ascii="Calibri" w:hAnsi="Calibri" w:cs="Microsoft Sans Serif"/>
                                  <w:b/>
                                </w:rPr>
                                <w:t xml:space="preserve">manager </w:t>
                              </w:r>
                              <w:r w:rsidRPr="00BB0558">
                                <w:rPr>
                                  <w:rFonts w:ascii="Calibri" w:hAnsi="Calibri" w:cs="Microsoft Sans Serif"/>
                                  <w:b/>
                                </w:rPr>
                                <w:t>authorisation obtained)</w:t>
                              </w:r>
                            </w:p>
                          </w:txbxContent>
                        </wps:txbx>
                        <wps:bodyPr rot="0" vert="horz" wrap="square" lIns="91440" tIns="45720" rIns="91440" bIns="45720" anchor="t" anchorCtr="0" upright="1">
                          <a:noAutofit/>
                        </wps:bodyPr>
                      </wps:wsp>
                      <wps:wsp>
                        <wps:cNvPr id="13" name="AutoShape 13"/>
                        <wps:cNvSpPr>
                          <a:spLocks noChangeArrowheads="1"/>
                        </wps:cNvSpPr>
                        <wps:spPr bwMode="auto">
                          <a:xfrm>
                            <a:off x="5493" y="8140"/>
                            <a:ext cx="2850" cy="926"/>
                          </a:xfrm>
                          <a:prstGeom prst="flowChartAlternateProcess">
                            <a:avLst/>
                          </a:prstGeom>
                          <a:solidFill>
                            <a:srgbClr val="C0C0C0">
                              <a:alpha val="50000"/>
                            </a:srgbClr>
                          </a:solidFill>
                          <a:ln w="9525">
                            <a:solidFill>
                              <a:srgbClr val="000000"/>
                            </a:solidFill>
                            <a:miter lim="800000"/>
                            <a:headEnd/>
                            <a:tailEnd/>
                          </a:ln>
                        </wps:spPr>
                        <wps:txbx>
                          <w:txbxContent>
                            <w:p w14:paraId="17E57F73"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On receipt of further information issue further report to manager</w:t>
                              </w:r>
                            </w:p>
                          </w:txbxContent>
                        </wps:txbx>
                        <wps:bodyPr rot="0" vert="horz" wrap="square" lIns="91440" tIns="45720" rIns="91440" bIns="45720" anchor="t" anchorCtr="0" upright="1">
                          <a:noAutofit/>
                        </wps:bodyPr>
                      </wps:wsp>
                      <wps:wsp>
                        <wps:cNvPr id="14" name="AutoShape 14"/>
                        <wps:cNvSpPr>
                          <a:spLocks noChangeArrowheads="1"/>
                        </wps:cNvSpPr>
                        <wps:spPr bwMode="auto">
                          <a:xfrm rot="5400000">
                            <a:off x="3536" y="4443"/>
                            <a:ext cx="463" cy="450"/>
                          </a:xfrm>
                          <a:prstGeom prst="chevron">
                            <a:avLst>
                              <a:gd name="adj" fmla="val 27437"/>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15"/>
                        <wps:cNvSpPr>
                          <a:spLocks noChangeArrowheads="1"/>
                        </wps:cNvSpPr>
                        <wps:spPr bwMode="auto">
                          <a:xfrm rot="5400000">
                            <a:off x="6236" y="6295"/>
                            <a:ext cx="463" cy="450"/>
                          </a:xfrm>
                          <a:prstGeom prst="chevron">
                            <a:avLst>
                              <a:gd name="adj" fmla="val 27437"/>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16"/>
                        <wps:cNvSpPr>
                          <a:spLocks noChangeArrowheads="1"/>
                        </wps:cNvSpPr>
                        <wps:spPr bwMode="auto">
                          <a:xfrm rot="10800000">
                            <a:off x="4743" y="7059"/>
                            <a:ext cx="450" cy="463"/>
                          </a:xfrm>
                          <a:prstGeom prst="chevron">
                            <a:avLst>
                              <a:gd name="adj" fmla="val 26667"/>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7"/>
                        <wps:cNvSpPr>
                          <a:spLocks noChangeArrowheads="1"/>
                        </wps:cNvSpPr>
                        <wps:spPr bwMode="auto">
                          <a:xfrm rot="10800000">
                            <a:off x="4893" y="3510"/>
                            <a:ext cx="450" cy="463"/>
                          </a:xfrm>
                          <a:prstGeom prst="chevron">
                            <a:avLst>
                              <a:gd name="adj" fmla="val 26667"/>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8"/>
                        <wps:cNvSpPr>
                          <a:spLocks noChangeArrowheads="1"/>
                        </wps:cNvSpPr>
                        <wps:spPr bwMode="auto">
                          <a:xfrm rot="5400000">
                            <a:off x="6236" y="2591"/>
                            <a:ext cx="463" cy="450"/>
                          </a:xfrm>
                          <a:prstGeom prst="chevron">
                            <a:avLst>
                              <a:gd name="adj" fmla="val 27437"/>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19"/>
                        <wps:cNvSpPr>
                          <a:spLocks noChangeArrowheads="1"/>
                        </wps:cNvSpPr>
                        <wps:spPr bwMode="auto">
                          <a:xfrm>
                            <a:off x="4893" y="1813"/>
                            <a:ext cx="450" cy="463"/>
                          </a:xfrm>
                          <a:prstGeom prst="chevron">
                            <a:avLst>
                              <a:gd name="adj" fmla="val 26667"/>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20"/>
                        <wps:cNvSpPr>
                          <a:spLocks noChangeArrowheads="1"/>
                        </wps:cNvSpPr>
                        <wps:spPr bwMode="auto">
                          <a:xfrm>
                            <a:off x="4893" y="5362"/>
                            <a:ext cx="450" cy="464"/>
                          </a:xfrm>
                          <a:prstGeom prst="chevron">
                            <a:avLst>
                              <a:gd name="adj" fmla="val 26667"/>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21"/>
                        <wps:cNvSpPr>
                          <a:spLocks noChangeArrowheads="1"/>
                        </wps:cNvSpPr>
                        <wps:spPr bwMode="auto">
                          <a:xfrm>
                            <a:off x="4743" y="8294"/>
                            <a:ext cx="450" cy="463"/>
                          </a:xfrm>
                          <a:prstGeom prst="chevron">
                            <a:avLst>
                              <a:gd name="adj" fmla="val 26667"/>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23" name="Line 23"/>
                        <wps:cNvCnPr>
                          <a:cxnSpLocks noChangeShapeType="1"/>
                        </wps:cNvCnPr>
                        <wps:spPr bwMode="auto">
                          <a:xfrm>
                            <a:off x="8043" y="1967"/>
                            <a:ext cx="368" cy="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flipV="1">
                            <a:off x="9161" y="2930"/>
                            <a:ext cx="1" cy="4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flipH="1">
                            <a:off x="7743" y="3819"/>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2"/>
                        <wps:cNvSpPr>
                          <a:spLocks noChangeArrowheads="1"/>
                        </wps:cNvSpPr>
                        <wps:spPr bwMode="auto">
                          <a:xfrm>
                            <a:off x="8411" y="3393"/>
                            <a:ext cx="1650" cy="2932"/>
                          </a:xfrm>
                          <a:prstGeom prst="rect">
                            <a:avLst/>
                          </a:prstGeom>
                          <a:solidFill>
                            <a:srgbClr val="FFFFFF"/>
                          </a:solidFill>
                          <a:ln w="9525">
                            <a:solidFill>
                              <a:srgbClr val="000000"/>
                            </a:solidFill>
                            <a:miter lim="800000"/>
                            <a:headEnd/>
                            <a:tailEnd/>
                          </a:ln>
                        </wps:spPr>
                        <wps:txbx>
                          <w:txbxContent>
                            <w:p w14:paraId="588F62DB" w14:textId="77777777" w:rsidR="007D1119" w:rsidRPr="00BB0558" w:rsidRDefault="00EB294F" w:rsidP="00EB294F">
                              <w:pPr>
                                <w:rPr>
                                  <w:rFonts w:ascii="Calibri" w:hAnsi="Calibri" w:cs="Microsoft Sans Serif"/>
                                </w:rPr>
                              </w:pPr>
                              <w:r>
                                <w:rPr>
                                  <w:rFonts w:ascii="Calibri" w:hAnsi="Calibri" w:cs="Microsoft Sans Serif"/>
                                </w:rPr>
                                <w:t xml:space="preserve">Ensures employee’s consent to referral.  </w:t>
                              </w:r>
                              <w:r w:rsidR="007D1119" w:rsidRPr="00BB0558">
                                <w:rPr>
                                  <w:rFonts w:ascii="Calibri" w:hAnsi="Calibri" w:cs="Microsoft Sans Serif"/>
                                </w:rPr>
                                <w:t>Referral form and employee info available at www.tophs.co.uk</w:t>
                              </w:r>
                            </w:p>
                            <w:p w14:paraId="0FD04301" w14:textId="77777777" w:rsidR="007D1119" w:rsidRPr="000B0145" w:rsidRDefault="007D1119" w:rsidP="007D1119"/>
                          </w:txbxContent>
                        </wps:txbx>
                        <wps:bodyPr rot="0" vert="horz" wrap="square" lIns="91440" tIns="45720" rIns="91440" bIns="45720" anchor="t" anchorCtr="0" upright="1">
                          <a:noAutofit/>
                        </wps:bodyPr>
                      </wps:wsp>
                    </wpg:wgp>
                  </a:graphicData>
                </a:graphic>
              </wp:inline>
            </w:drawing>
          </mc:Choice>
          <mc:Fallback>
            <w:pict>
              <v:group w14:anchorId="2129C0FC" id="Group 2" o:spid="_x0000_s1026" style="width:477pt;height:495.55pt;mso-position-horizontal-relative:char;mso-position-vertical-relative:line" coordorigin="2343,1041" coordsize="7950,8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kU/QYAAExCAAAOAAAAZHJzL2Uyb0RvYy54bWzsXFtv2zYUfh+w/0DofbGomyWjTlG4aTeg&#10;2wK02zuji61NEjVKiZ3++h2SulCyXCdN7LQbWyCwdaGODj9+PFe/er3LM3QXsyqlxdLAF6aB4iKk&#10;UVqsl8Yfn9795BuoqkkRkYwW8dK4jyvj9eWPP7zalovYohuaRTFDMEhRLbbl0tjUdbmYzapwE+ek&#10;uqBlXMDJhLKc1PCVrWcRI1sYPc9mlml6sy1lUcloGFcVHH0rTxqXYvwkicP69ySp4hplSwNkq8Vf&#10;Jv7e8L+zy1dksWak3KRhIwb5Cilykhbw0G6ot6Qm6Jale0PlachoRZP6IqT5jCZJGsbiHeBtsDl6&#10;m/eM3pbiXdaL7brs1ASqHenpq4cNf7t7z8qP5TWT0sPHDzT8u0IFXW1IsY7fVCUoEaaWq2q2LdcL&#10;9Rb+fS3vRzfbX2kEU0xuayp0sUtYzkeFt0Q7ofL7TuXxrkYhHPRMdx6YMDMhnPOswPbmjpyUcAMz&#10;x++zbMc2EJzGpiOkIItwc9XcPw/c5mbfCeZCRrKQDxbCNsJxPADAql6H1dN0+HFDylhMTcUVcs1Q&#10;GoGoBipIDjp4AzoQlyCby8QfDle1aq4O6rhXO2N0u4lJBHJiGJV+Ao1dRakyE8qQfPwK5vDoHEzo&#10;sp0JRZO2LaSetZoki5JV9fuY5oh/WBoMICGmmNx9qGoOjP4SPuMFfZdmmQSMlEzq4IZG9yAlozAG&#10;TBvwBnzYUPbZQFtYg0uj+ueWsNhA2S8FvHiAHYcvWvHFcecWfGHqmRv1DClCGGpp1AaSH1e1XOi3&#10;JUvXG6E5KRyfnSQVcnPNSakEugVGzgQWAPUYLAL6x8AyQEar4w5dD4fCPGiWlWs2S66FAu4WFcZe&#10;MFhU/Tw3UEgyugWmYPWbrI5ZQer4WrLxl/BR0SyNOET4fFRsfbPKGLojwNErk/+X92blhsijrgn/&#10;GjmaywXmBuNkBdoCZlzLFbcPzg2ewQfrh1NFyVN4B5Sl+dLwu4vIgq/DqyICXZNFTdJMfgbMZ0WD&#10;Gr74JGzq3c0OLuxxpdEuqNHdR7v7EGp8JrS7zkG0W267hQTWcAfRYH8A2MXsin1ZY77d6BtzwNvH&#10;vPcSmLfBtuTPJYuW4S2rxTx2XcH+hzd7zfDtntozfGPtaaLft4Hn+6AXrMqV2FkpsOuPbeBnInqr&#10;NWsmQG+CaSAcDWz60p85aOFq0B8AfefPaFtecfwgyjG25f0zMn0Hetd0xQT1TK/Y8ralmf7Rtrxg&#10;+s4v06BXQB/sg144i2diet/BEBnhcSHXsYbmDfbB4JFMb/tiIT7AvHmS3/pO/ONSwJMGrue345Y2&#10;fpg2WvaNFgyRpTGBw7FGVWcwWzr/dJ/BFVsdz9soSBtbHQXmtNlywGzp/C7N4AqDcwLdg33ny58D&#10;9rYlg5CeL2POveHi+BB6lByObcHvD+BwHYQUIQgehBRs33leGvYq7CfyNFhA7Eymi9VGI73AFFHQ&#10;HvYW2C4S9pZ3LA2j2f4A23e+l4a9CvuJjBPu/PlzsH0Lex9DXg+MKwX2fhuQDCyxV2uyf0zGSZB9&#10;53xp1KuodyZsnM6hPxXqZdbPdWQWkSO9qYKwXRvSAuC1Og6UNQzWgOPBAuV1EA6sBThzeAlAdcwd&#10;o7LiRKTg+QPWUWPLkegvAyV5BoUskFNF1tyx27xWczGM3DoO/M6BvzpIla5W3K9thBlc9m24tRrp&#10;KtIncqz45EnWg0j3rAbpUNYzMnI00sXCf0xdgUa6ivSJzCruXPzTcjrkjvZI3QGKFaQ+N12xC/eG&#10;DedySerA7s9I6p7naVJXa8H+o1VieCKfCscASaf0VSWpT0LdbwppbFcGSDXUn1AtplldZfWJLCru&#10;XPnTsvqEpd7ZL5YbjMpntP2i7ZeHlfBP14njidQpHDsxqSteqNOyOPZlBEizuGZx6Ld5VB/JNLZ5&#10;kf44pwTHXgDbEGkZ1QUoxviRUpjHRVi0Mf7/aNmwJvKlcOyM2G4dTd8KBII1b2vefibe7rJDH9Ii&#10;RpCX72G9KmR/YLgrxv2BYhP4dF9C05ssqW3cUnlLm5872pjmm22TXyDjGj2wbQ/8Ah4Wt49UcmUg&#10;95e6jrquNN648+ReIejNbFqCHh/GA81Cd+I5m82g9LPZleXsqgmQE80uSrK0/JPDQjE8A+zJoj1o&#10;9RylAJuKPe5bcf0cLM3+hqYZ1QL4NUuhVTaDvkVoQMvjCDbDGLqh+Sf5JhN9YtLzfwEgdEkCCQQ1&#10;P3BKIPw8AsK83clsX3o+/YL32n7gI1kwDYSn+KDWRBEMHANEnjKwqFBBV79r2xBShOf2CMBeGzUH&#10;mjhS+3WsF3mQtRwkN7+bmt2+EvV7iReK3nv4yQLB483PK/DfRFC/iz2w/xGIy38BAAD//wMAUEsD&#10;BBQABgAIAAAAIQBe8ohw2wAAAAUBAAAPAAAAZHJzL2Rvd25yZXYueG1sTI9BS8NAEIXvgv9hGcGb&#10;3USt2JhNKUU9FcFWEG/T7DQJzc6G7DZJ/72jF70M83jDm+/ly8m1aqA+NJ4NpLMEFHHpbcOVgY/d&#10;y80jqBCRLbaeycCZAiyLy4scM+tHfqdhGyslIRwyNFDH2GVah7Imh2HmO2LxDr53GEX2lbY9jhLu&#10;Wn2bJA/aYcPyocaO1jWVx+3JGXgdcVzdpc/D5nhYn79287fPTUrGXF9NqydQkab4dww/+IIOhTDt&#10;/YltUK0BKRJ/p3iL+b3IvSyLNAVd5Po/ffENAAD//wMAUEsBAi0AFAAGAAgAAAAhALaDOJL+AAAA&#10;4QEAABMAAAAAAAAAAAAAAAAAAAAAAFtDb250ZW50X1R5cGVzXS54bWxQSwECLQAUAAYACAAAACEA&#10;OP0h/9YAAACUAQAACwAAAAAAAAAAAAAAAAAvAQAAX3JlbHMvLnJlbHNQSwECLQAUAAYACAAAACEA&#10;7uB5FP0GAABMQgAADgAAAAAAAAAAAAAAAAAuAgAAZHJzL2Uyb0RvYy54bWxQSwECLQAUAAYACAAA&#10;ACEAXvKIcNsAAAAFAQAADwAAAAAAAAAAAAAAAABXCQAAZHJzL2Rvd25yZXYueG1sUEsFBgAAAAAE&#10;AAQA8wAAAF8KAAAAAA==&#10;">
                <o:lock v:ext="edit" aspectratio="t"/>
                <v:rect id="AutoShape 3" o:spid="_x0000_s1027" style="position:absolute;left:2343;top:1041;width:7950;height: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2793;top:1504;width:1950;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a/xAAAANoAAAAPAAAAZHJzL2Rvd25yZXYueG1sRI9Ba8JA&#10;FITvBf/D8oTedNOGikTXUIulKVTB6KW31+wzCWbfxuxW47/vCkKPw8x8w8zT3jTiTJ2rLSt4Gkcg&#10;iAuray4V7HfvoykI55E1NpZJwZUcpIvBwxwTbS+8pXPuSxEg7BJUUHnfJlK6oiKDbmxb4uAdbGfQ&#10;B9mVUnd4CXDTyOcomkiDNYeFClt6q6g45r9GQbail/7nYD83fhmt4+9r/MWnD6Ueh/3rDISn3v+H&#10;7+1MK4jhdiXcALn4AwAA//8DAFBLAQItABQABgAIAAAAIQDb4fbL7gAAAIUBAAATAAAAAAAAAAAA&#10;AAAAAAAAAABbQ29udGVudF9UeXBlc10ueG1sUEsBAi0AFAAGAAgAAAAhAFr0LFu/AAAAFQEAAAsA&#10;AAAAAAAAAAAAAAAAHwEAAF9yZWxzLy5yZWxzUEsBAi0AFAAGAAgAAAAhACpb1r/EAAAA2gAAAA8A&#10;AAAAAAAAAAAAAAAABwIAAGRycy9kb3ducmV2LnhtbFBLBQYAAAAAAwADALcAAAD4AgAAAAA=&#10;" fillcolor="silver">
                  <v:fill opacity="32896f"/>
                  <v:textbox>
                    <w:txbxContent>
                      <w:p w14:paraId="21CA4766"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Manager identifies a problem requiring</w:t>
                        </w:r>
                        <w:r w:rsidR="00AB37F0">
                          <w:rPr>
                            <w:rFonts w:ascii="Calibri" w:hAnsi="Calibri" w:cs="Microsoft Sans Serif"/>
                            <w:b/>
                          </w:rPr>
                          <w:t xml:space="preserve"> OH </w:t>
                        </w:r>
                        <w:r w:rsidRPr="00BB0558">
                          <w:rPr>
                            <w:rFonts w:ascii="Calibri" w:hAnsi="Calibri" w:cs="Microsoft Sans Serif"/>
                            <w:b/>
                          </w:rPr>
                          <w:t xml:space="preserve"> referral</w:t>
                        </w:r>
                      </w:p>
                    </w:txbxContent>
                  </v:textbox>
                </v:shape>
                <v:shape id="AutoShape 5" o:spid="_x0000_s1029" type="#_x0000_t176" style="position:absolute;left:5493;top:1504;width:255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QxQAAANoAAAAPAAAAZHJzL2Rvd25yZXYueG1sRI9ba8JA&#10;FITfC/0PyxF8040Vi6TZBFtatKCCl5e+HbMnF5o9m2a3Gv+9WxD6OMzMN0yS9aYRZ+pcbVnBZByB&#10;IM6trrlUcDx8jOYgnEfW2FgmBVdykKWPDwnG2l54R+e9L0WAsItRQeV9G0vp8ooMurFtiYNX2M6g&#10;D7Irpe7wEuCmkU9R9CwN1hwWKmzpraL8e/9rFKzeadafCvu59a/RZvp1na75Z6nUcNAvXkB46v1/&#10;+N5eaQUz+LsSboBMbwAAAP//AwBQSwECLQAUAAYACAAAACEA2+H2y+4AAACFAQAAEwAAAAAAAAAA&#10;AAAAAAAAAAAAW0NvbnRlbnRfVHlwZXNdLnhtbFBLAQItABQABgAIAAAAIQBa9CxbvwAAABUBAAAL&#10;AAAAAAAAAAAAAAAAAB8BAABfcmVscy8ucmVsc1BLAQItABQABgAIAAAAIQDK/utQxQAAANoAAAAP&#10;AAAAAAAAAAAAAAAAAAcCAABkcnMvZG93bnJldi54bWxQSwUGAAAAAAMAAwC3AAAA+QIAAAAA&#10;" fillcolor="silver">
                  <v:fill opacity="32896f"/>
                  <v:textbox>
                    <w:txbxContent>
                      <w:p w14:paraId="757FE097"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Discusses</w:t>
                        </w:r>
                        <w:r w:rsidRPr="0088699A">
                          <w:rPr>
                            <w:rFonts w:ascii="Microsoft Sans Serif" w:hAnsi="Microsoft Sans Serif" w:cs="Microsoft Sans Serif"/>
                            <w:b/>
                          </w:rPr>
                          <w:t xml:space="preserve"> </w:t>
                        </w:r>
                        <w:r w:rsidRPr="00BB0558">
                          <w:rPr>
                            <w:rFonts w:ascii="Calibri" w:hAnsi="Calibri" w:cs="Microsoft Sans Serif"/>
                            <w:b/>
                          </w:rPr>
                          <w:t>with employee and notifies of referral to OH service</w:t>
                        </w:r>
                      </w:p>
                    </w:txbxContent>
                  </v:textbox>
                </v:shape>
                <v:shape id="AutoShape 6" o:spid="_x0000_s1030" type="#_x0000_t176" style="position:absolute;left:5493;top:3201;width:2250;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HUnwwAAANoAAAAPAAAAZHJzL2Rvd25yZXYueG1sRI9Pi8Iw&#10;FMTvgt8hPGFvmrqyIl2jqKysggr+uezt2TzbYvNSm6zWb28EweMwM79hhuPaFOJKlcstK+h2IhDE&#10;idU5pwoO+3l7AMJ5ZI2FZVJwJwfjUbMxxFjbG2/puvOpCBB2MSrIvC9jKV2SkUHXsSVx8E62MuiD&#10;rFKpK7wFuCnkZxT1pcGcw0KGJc0ySs67f6Ng8UNf9fFklxs/jda9v3tvxZdfpT5a9eQbhKfav8Ov&#10;9kIr6MPzSrgBcvQAAAD//wMAUEsBAi0AFAAGAAgAAAAhANvh9svuAAAAhQEAABMAAAAAAAAAAAAA&#10;AAAAAAAAAFtDb250ZW50X1R5cGVzXS54bWxQSwECLQAUAAYACAAAACEAWvQsW78AAAAVAQAACwAA&#10;AAAAAAAAAAAAAAAfAQAAX3JlbHMvLnJlbHNQSwECLQAUAAYACAAAACEAOix1J8MAAADaAAAADwAA&#10;AAAAAAAAAAAAAAAHAgAAZHJzL2Rvd25yZXYueG1sUEsFBgAAAAADAAMAtwAAAPcCAAAAAA==&#10;" fillcolor="silver">
                  <v:fill opacity="32896f"/>
                  <v:textbox>
                    <w:txbxContent>
                      <w:p w14:paraId="07C7CF91" w14:textId="28994484" w:rsidR="007D1119" w:rsidRPr="00BB0558" w:rsidRDefault="007D1119" w:rsidP="007D1119">
                        <w:pPr>
                          <w:jc w:val="center"/>
                          <w:rPr>
                            <w:rFonts w:ascii="Calibri" w:hAnsi="Calibri" w:cs="Microsoft Sans Serif"/>
                            <w:b/>
                          </w:rPr>
                        </w:pPr>
                        <w:r w:rsidRPr="00BB0558">
                          <w:rPr>
                            <w:rFonts w:ascii="Calibri" w:hAnsi="Calibri" w:cs="Microsoft Sans Serif"/>
                            <w:b/>
                          </w:rPr>
                          <w:t>Manager completes referral form and sends to TOPHS Ltd</w:t>
                        </w:r>
                        <w:r w:rsidR="0030271C">
                          <w:rPr>
                            <w:rFonts w:ascii="Calibri" w:hAnsi="Calibri" w:cs="Microsoft Sans Serif"/>
                            <w:b/>
                          </w:rPr>
                          <w:t>, with a copy to employee</w:t>
                        </w:r>
                      </w:p>
                    </w:txbxContent>
                  </v:textbox>
                </v:shape>
                <v:shape id="AutoShape 7" o:spid="_x0000_s1031" type="#_x0000_t176" style="position:absolute;left:2793;top:3201;width:2025;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NC8xAAAANoAAAAPAAAAZHJzL2Rvd25yZXYueG1sRI9Ba8JA&#10;FITvBf/D8gRvzcaKWqKrWLGooEJtL96e2WcSzL6N2a3Gf+8KhR6HmfmGGU8bU4or1a6wrKAbxSCI&#10;U6sLzhT8fH++voNwHlljaZkU3MnBdNJ6GWOi7Y2/6Lr3mQgQdgkqyL2vEildmpNBF9mKOHgnWxv0&#10;QdaZ1DXeAtyU8i2OB9JgwWEhx4rmOaXn/a9RsFpQvzme7HrnP+Jt73DvbfiyVKrTbmYjEJ4a/x/+&#10;a6+0giE8r4QbICcPAAAA//8DAFBLAQItABQABgAIAAAAIQDb4fbL7gAAAIUBAAATAAAAAAAAAAAA&#10;AAAAAAAAAABbQ29udGVudF9UeXBlc10ueG1sUEsBAi0AFAAGAAgAAAAhAFr0LFu/AAAAFQEAAAsA&#10;AAAAAAAAAAAAAAAAHwEAAF9yZWxzLy5yZWxzUEsBAi0AFAAGAAgAAAAhAFVg0LzEAAAA2gAAAA8A&#10;AAAAAAAAAAAAAAAABwIAAGRycy9kb3ducmV2LnhtbFBLBQYAAAAAAwADALcAAAD4AgAAAAA=&#10;" fillcolor="silver">
                  <v:fill opacity="32896f"/>
                  <v:textbox>
                    <w:txbxContent>
                      <w:p w14:paraId="22F38E79"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Appointment time, date and location confirmed to referring manager</w:t>
                        </w:r>
                      </w:p>
                    </w:txbxContent>
                  </v:textbox>
                </v:shape>
                <v:shape id="AutoShape 8" o:spid="_x0000_s1032" type="#_x0000_t176" style="position:absolute;left:2793;top:5053;width:195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OwAAAANoAAAAPAAAAZHJzL2Rvd25yZXYueG1sRE9Ni8Iw&#10;EL0L+x/CCN40VVlZqlFUXFRQYasXb2MztmWbSbfJav335iB4fLzvyawxpbhR7QrLCvq9CARxanXB&#10;mYLT8bv7BcJ5ZI2lZVLwIAez6UdrgrG2d/6hW+IzEULYxagg976KpXRpTgZdz1bEgbva2qAPsM6k&#10;rvEewk0pB1E0kgYLDg05VrTMKf1N/o2CzYo+m8vVbg9+Ee2H58dwx39rpTrtZj4G4anxb/HLvdEK&#10;wtZwJdwAOX0CAAD//wMAUEsBAi0AFAAGAAgAAAAhANvh9svuAAAAhQEAABMAAAAAAAAAAAAAAAAA&#10;AAAAAFtDb250ZW50X1R5cGVzXS54bWxQSwECLQAUAAYACAAAACEAWvQsW78AAAAVAQAACwAAAAAA&#10;AAAAAAAAAAAfAQAAX3JlbHMvLnJlbHNQSwECLQAUAAYACAAAACEAJP9EzsAAAADaAAAADwAAAAAA&#10;AAAAAAAAAAAHAgAAZHJzL2Rvd25yZXYueG1sUEsFBgAAAAADAAMAtwAAAPQCAAAAAA==&#10;" fillcolor="silver">
                  <v:fill opacity="32896f"/>
                  <v:textbox>
                    <w:txbxContent>
                      <w:p w14:paraId="3DDF5D66"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Manager notifies employee of appointment details</w:t>
                        </w:r>
                      </w:p>
                    </w:txbxContent>
                  </v:textbox>
                </v:shape>
                <v:shapetype id="_x0000_t109" coordsize="21600,21600" o:spt="109" path="m,l,21600r21600,l21600,xe">
                  <v:stroke joinstyle="miter"/>
                  <v:path gradientshapeok="t" o:connecttype="rect"/>
                </v:shapetype>
                <v:shape id="AutoShape 9" o:spid="_x0000_s1033" type="#_x0000_t109" style="position:absolute;left:8411;top:1542;width:1801;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0C73E81" w14:textId="77777777" w:rsidR="007D1119" w:rsidRPr="00BB0558" w:rsidRDefault="007D1119" w:rsidP="007D1119">
                        <w:pPr>
                          <w:jc w:val="center"/>
                          <w:rPr>
                            <w:rFonts w:ascii="Calibri" w:hAnsi="Calibri" w:cs="Microsoft Sans Serif"/>
                          </w:rPr>
                        </w:pPr>
                        <w:r w:rsidRPr="00BB0558">
                          <w:rPr>
                            <w:rFonts w:ascii="Calibri" w:hAnsi="Calibri" w:cs="Microsoft Sans Serif"/>
                          </w:rPr>
                          <w:t>Provides information on referral process</w:t>
                        </w:r>
                        <w:r w:rsidR="00EB294F">
                          <w:rPr>
                            <w:rFonts w:ascii="Calibri" w:hAnsi="Calibri" w:cs="Microsoft Sans Serif"/>
                          </w:rPr>
                          <w:t xml:space="preserve"> &amp; reason for referral </w:t>
                        </w:r>
                      </w:p>
                    </w:txbxContent>
                  </v:textbox>
                </v:shape>
                <v:shape id="AutoShape 10" o:spid="_x0000_s1034" type="#_x0000_t176" style="position:absolute;left:5493;top:5053;width:225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mM5xQAAANsAAAAPAAAAZHJzL2Rvd25yZXYueG1sRI9Ba8JA&#10;EIXvQv/DMkJvurFSKdFVbGmpggpVL97G7JiEZmfT7Fbjv3cOgrcZ3pv3vpnMWlepMzWh9Gxg0E9A&#10;EWfelpwb2O++em+gQkS2WHkmA1cKMJs+dSaYWn/hHzpvY64khEOKBooY61TrkBXkMPR9TSzayTcO&#10;o6xNrm2DFwl3lX5JkpF2WLI0FFjTR0HZ7/bfGVh80mt7PPnlJr4n6+HhOlzx37cxz912PgYVqY0P&#10;8/16YQVf6OUXGUBPbwAAAP//AwBQSwECLQAUAAYACAAAACEA2+H2y+4AAACFAQAAEwAAAAAAAAAA&#10;AAAAAAAAAAAAW0NvbnRlbnRfVHlwZXNdLnhtbFBLAQItABQABgAIAAAAIQBa9CxbvwAAABUBAAAL&#10;AAAAAAAAAAAAAAAAAB8BAABfcmVscy8ucmVsc1BLAQItABQABgAIAAAAIQB1MmM5xQAAANsAAAAP&#10;AAAAAAAAAAAAAAAAAAcCAABkcnMvZG93bnJldi54bWxQSwUGAAAAAAMAAwC3AAAA+QIAAAAA&#10;" fillcolor="silver">
                  <v:fill opacity="32896f"/>
                  <v:textbox>
                    <w:txbxContent>
                      <w:p w14:paraId="2F41E459"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Employee assessed at consultation</w:t>
                        </w:r>
                      </w:p>
                    </w:txbxContent>
                  </v:textbox>
                </v:shape>
                <v:shape id="AutoShape 11" o:spid="_x0000_s1035" type="#_x0000_t176" style="position:absolute;left:5323;top:6833;width:4869;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aiwQAAANsAAAAPAAAAZHJzL2Rvd25yZXYueG1sRE9Ni8Iw&#10;EL0L+x/CLHjTVEWRrlFcUVRQQXcvexubsS3bTGoTtf57Iwje5vE+ZzSpTSGuVLncsoJOOwJBnFid&#10;c6rg92fRGoJwHlljYZkU3MnBZPzRGGGs7Y33dD34VIQQdjEqyLwvYyldkpFB17YlceBOtjLoA6xS&#10;qSu8hXBTyG4UDaTBnENDhiXNMkr+DxejYDWnfn082fXOf0fb3t+9t+HzUqnmZz39AuGp9m/xy73S&#10;YX4Hnr+EA+T4AQAA//8DAFBLAQItABQABgAIAAAAIQDb4fbL7gAAAIUBAAATAAAAAAAAAAAAAAAA&#10;AAAAAABbQ29udGVudF9UeXBlc10ueG1sUEsBAi0AFAAGAAgAAAAhAFr0LFu/AAAAFQEAAAsAAAAA&#10;AAAAAAAAAAAAHwEAAF9yZWxzLy5yZWxzUEsBAi0AFAAGAAgAAAAhABp+xqLBAAAA2wAAAA8AAAAA&#10;AAAAAAAAAAAABwIAAGRycy9kb3ducmV2LnhtbFBLBQYAAAAAAwADALcAAAD1AgAAAAA=&#10;" fillcolor="silver">
                  <v:fill opacity="32896f"/>
                  <v:textbox>
                    <w:txbxContent>
                      <w:p w14:paraId="302BFBA9" w14:textId="7ECAF0F3" w:rsidR="007D1119" w:rsidRPr="00BB0558" w:rsidRDefault="007D1119" w:rsidP="007D1119">
                        <w:pPr>
                          <w:jc w:val="center"/>
                          <w:rPr>
                            <w:rFonts w:ascii="Calibri" w:hAnsi="Calibri" w:cs="Microsoft Sans Serif"/>
                            <w:b/>
                          </w:rPr>
                        </w:pPr>
                        <w:r w:rsidRPr="00BB0558">
                          <w:rPr>
                            <w:rFonts w:ascii="Calibri" w:hAnsi="Calibri" w:cs="Microsoft Sans Serif"/>
                            <w:b/>
                          </w:rPr>
                          <w:t>Report issued to</w:t>
                        </w:r>
                        <w:r w:rsidR="00EB294F">
                          <w:rPr>
                            <w:rFonts w:ascii="Calibri" w:hAnsi="Calibri" w:cs="Microsoft Sans Serif"/>
                            <w:b/>
                          </w:rPr>
                          <w:t xml:space="preserve"> manager</w:t>
                        </w:r>
                        <w:r w:rsidRPr="00BB0558">
                          <w:rPr>
                            <w:rFonts w:ascii="Calibri" w:hAnsi="Calibri" w:cs="Microsoft Sans Serif"/>
                            <w:b/>
                          </w:rPr>
                          <w:t xml:space="preserve"> with recommendations and advice</w:t>
                        </w:r>
                        <w:r w:rsidR="00EB294F">
                          <w:rPr>
                            <w:rFonts w:ascii="Calibri" w:hAnsi="Calibri" w:cs="Microsoft Sans Serif"/>
                            <w:b/>
                          </w:rPr>
                          <w:t xml:space="preserve"> [with or without preview by employee]</w:t>
                        </w:r>
                        <w:r w:rsidR="0030271C">
                          <w:rPr>
                            <w:rFonts w:ascii="Calibri" w:hAnsi="Calibri" w:cs="Microsoft Sans Serif"/>
                            <w:b/>
                          </w:rPr>
                          <w:t xml:space="preserve"> if employee consents</w:t>
                        </w:r>
                      </w:p>
                    </w:txbxContent>
                  </v:textbox>
                </v:shape>
                <v:shape id="AutoShape 12" o:spid="_x0000_s1036" type="#_x0000_t176" style="position:absolute;left:2493;top:6905;width:2180;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jVwwAAANsAAAAPAAAAZHJzL2Rvd25yZXYueG1sRE9Na8JA&#10;EL0X/A/LCL3VjQmKpK6i0tIIVdD20tuYHZNgdjbNbmP8912h0Ns83ufMl72pRUetqywrGI8iEMS5&#10;1RUXCj4/Xp9mIJxH1lhbJgU3crBcDB7mmGp75QN1R1+IEMIuRQWl900qpctLMuhGtiEO3Nm2Bn2A&#10;bSF1i9cQbmoZR9FUGqw4NJTY0Kak/HL8MQqyF5r0p7Pd7v062iVft+Sdv9+Uehz2q2cQnnr/L/5z&#10;ZzrMj+H+SzhALn4BAAD//wMAUEsBAi0AFAAGAAgAAAAhANvh9svuAAAAhQEAABMAAAAAAAAAAAAA&#10;AAAAAAAAAFtDb250ZW50X1R5cGVzXS54bWxQSwECLQAUAAYACAAAACEAWvQsW78AAAAVAQAACwAA&#10;AAAAAAAAAAAAAAAfAQAAX3JlbHMvLnJlbHNQSwECLQAUAAYACAAAACEA6qxY1cMAAADbAAAADwAA&#10;AAAAAAAAAAAAAAAHAgAAZHJzL2Rvd25yZXYueG1sUEsFBgAAAAADAAMAtwAAAPcCAAAAAA==&#10;" fillcolor="silver">
                  <v:fill opacity="32896f"/>
                  <v:textbox>
                    <w:txbxContent>
                      <w:p w14:paraId="31F5016B" w14:textId="2E908EFF" w:rsidR="007D1119" w:rsidRPr="00BB0558" w:rsidRDefault="007D1119" w:rsidP="007D1119">
                        <w:pPr>
                          <w:jc w:val="center"/>
                          <w:rPr>
                            <w:rFonts w:ascii="Calibri" w:hAnsi="Calibri" w:cs="Microsoft Sans Serif"/>
                            <w:b/>
                          </w:rPr>
                        </w:pPr>
                        <w:r w:rsidRPr="00BB0558">
                          <w:rPr>
                            <w:rFonts w:ascii="Calibri" w:hAnsi="Calibri" w:cs="Microsoft Sans Serif"/>
                            <w:b/>
                          </w:rPr>
                          <w:t>Where required</w:t>
                        </w:r>
                        <w:r w:rsidR="00EA5C54">
                          <w:rPr>
                            <w:rFonts w:ascii="Calibri" w:hAnsi="Calibri" w:cs="Microsoft Sans Serif"/>
                            <w:b/>
                          </w:rPr>
                          <w:t xml:space="preserve">, </w:t>
                        </w:r>
                        <w:r w:rsidRPr="00BB0558">
                          <w:rPr>
                            <w:rFonts w:ascii="Calibri" w:hAnsi="Calibri" w:cs="Microsoft Sans Serif"/>
                            <w:b/>
                          </w:rPr>
                          <w:t xml:space="preserve"> seek further medical information from GP or specialist (after </w:t>
                        </w:r>
                        <w:r w:rsidR="00EA5C54">
                          <w:rPr>
                            <w:rFonts w:ascii="Calibri" w:hAnsi="Calibri" w:cs="Microsoft Sans Serif"/>
                            <w:b/>
                          </w:rPr>
                          <w:t xml:space="preserve">manager </w:t>
                        </w:r>
                        <w:r w:rsidRPr="00BB0558">
                          <w:rPr>
                            <w:rFonts w:ascii="Calibri" w:hAnsi="Calibri" w:cs="Microsoft Sans Serif"/>
                            <w:b/>
                          </w:rPr>
                          <w:t>authorisation obtained)</w:t>
                        </w:r>
                      </w:p>
                    </w:txbxContent>
                  </v:textbox>
                </v:shape>
                <v:shape id="AutoShape 13" o:spid="_x0000_s1037" type="#_x0000_t176" style="position:absolute;left:5493;top:8140;width:28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1OwgAAANsAAAAPAAAAZHJzL2Rvd25yZXYueG1sRE9La8JA&#10;EL4L/odlhN50o6FFoquoWGqhCj4u3sbsmASzszG71fjvuwXB23x8zxlPG1OKG9WusKyg34tAEKdW&#10;F5wpOOw/u0MQziNrLC2Tggc5mE7arTEm2t55S7edz0QIYZeggtz7KpHSpTkZdD1bEQfubGuDPsA6&#10;k7rGewg3pRxE0Yc0WHBoyLGiRU7pZfdrFKyW9N6czvZ74+fROj4+4h++fin11mlmIxCeGv8SP90r&#10;HebH8P9LOEBO/gAAAP//AwBQSwECLQAUAAYACAAAACEA2+H2y+4AAACFAQAAEwAAAAAAAAAAAAAA&#10;AAAAAAAAW0NvbnRlbnRfVHlwZXNdLnhtbFBLAQItABQABgAIAAAAIQBa9CxbvwAAABUBAAALAAAA&#10;AAAAAAAAAAAAAB8BAABfcmVscy8ucmVsc1BLAQItABQABgAIAAAAIQCF4P1OwgAAANsAAAAPAAAA&#10;AAAAAAAAAAAAAAcCAABkcnMvZG93bnJldi54bWxQSwUGAAAAAAMAAwC3AAAA9gIAAAAA&#10;" fillcolor="silver">
                  <v:fill opacity="32896f"/>
                  <v:textbox>
                    <w:txbxContent>
                      <w:p w14:paraId="17E57F73" w14:textId="77777777" w:rsidR="007D1119" w:rsidRPr="00BB0558" w:rsidRDefault="007D1119" w:rsidP="007D1119">
                        <w:pPr>
                          <w:jc w:val="center"/>
                          <w:rPr>
                            <w:rFonts w:ascii="Calibri" w:hAnsi="Calibri" w:cs="Microsoft Sans Serif"/>
                            <w:b/>
                          </w:rPr>
                        </w:pPr>
                        <w:r w:rsidRPr="00BB0558">
                          <w:rPr>
                            <w:rFonts w:ascii="Calibri" w:hAnsi="Calibri" w:cs="Microsoft Sans Serif"/>
                            <w:b/>
                          </w:rPr>
                          <w:t>On receipt of further information issue further report to manager</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4" o:spid="_x0000_s1038" type="#_x0000_t55" style="position:absolute;left:3536;top:4443;width:463;height:4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A4wQAAANsAAAAPAAAAZHJzL2Rvd25yZXYueG1sRE9Na8JA&#10;EL0X/A/LCN7qRiliU1cRbcVLkFq9T7NjEpqdTbNjTP99Vyj0No/3OYtV72rVURsqzwYm4wQUce5t&#10;xYWB08fb4xxUEGSLtWcy8EMBVsvBwwJT62/8Tt1RChVDOKRooBRpUq1DXpLDMPYNceQuvnUoEbaF&#10;ti3eYrir9TRJZtphxbGhxIY2JeVfx6szIPK9+8xedYbb7PB8Os8v5+umM2Y07NcvoIR6+Rf/ufc2&#10;zn+C+y/xAL38BQAA//8DAFBLAQItABQABgAIAAAAIQDb4fbL7gAAAIUBAAATAAAAAAAAAAAAAAAA&#10;AAAAAABbQ29udGVudF9UeXBlc10ueG1sUEsBAi0AFAAGAAgAAAAhAFr0LFu/AAAAFQEAAAsAAAAA&#10;AAAAAAAAAAAAHwEAAF9yZWxzLy5yZWxzUEsBAi0AFAAGAAgAAAAhAJ+0UDjBAAAA2wAAAA8AAAAA&#10;AAAAAAAAAAAABwIAAGRycy9kb3ducmV2LnhtbFBLBQYAAAAAAwADALcAAAD1AgAAAAA=&#10;" adj="15840" fillcolor="#cff"/>
                <v:shape id="AutoShape 15" o:spid="_x0000_s1039" type="#_x0000_t55" style="position:absolute;left:6236;top:6295;width:463;height:4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jwQAAANsAAAAPAAAAZHJzL2Rvd25yZXYueG1sRE9Na8JA&#10;EL0X/A/LCN7qRqFiU1cRbcVLkFq9T7NjEpqdTbNjTP99Vyj0No/3OYtV72rVURsqzwYm4wQUce5t&#10;xYWB08fb4xxUEGSLtWcy8EMBVsvBwwJT62/8Tt1RChVDOKRooBRpUq1DXpLDMPYNceQuvnUoEbaF&#10;ti3eYrir9TRJZtphxbGhxIY2JeVfx6szIPK9+8xedYbb7PB8Os8v5+umM2Y07NcvoIR6+Rf/ufc2&#10;zn+C+y/xAL38BQAA//8DAFBLAQItABQABgAIAAAAIQDb4fbL7gAAAIUBAAATAAAAAAAAAAAAAAAA&#10;AAAAAABbQ29udGVudF9UeXBlc10ueG1sUEsBAi0AFAAGAAgAAAAhAFr0LFu/AAAAFQEAAAsAAAAA&#10;AAAAAAAAAAAAHwEAAF9yZWxzLy5yZWxzUEsBAi0AFAAGAAgAAAAhAPD49aPBAAAA2wAAAA8AAAAA&#10;AAAAAAAAAAAABwIAAGRycy9kb3ducmV2LnhtbFBLBQYAAAAAAwADALcAAAD1AgAAAAA=&#10;" adj="15840" fillcolor="#cff"/>
                <v:shape id="AutoShape 16" o:spid="_x0000_s1040" type="#_x0000_t55" style="position:absolute;left:4743;top:7059;width:450;height:46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v1wQAAANsAAAAPAAAAZHJzL2Rvd25yZXYueG1sRE/basJA&#10;EH0X+g/LFHzTjQoaoqt4QSwWWmILvg7ZaTY0Oxuyq6Z/7xYE3+ZwrrNYdbYWV2p95VjBaJiAIC6c&#10;rrhU8P21H6QgfEDWWDsmBX/kYbV86S0w0+7GOV1PoRQxhH2GCkwITSalLwxZ9EPXEEfux7UWQ4Rt&#10;KXWLtxhuazlOkqm0WHFsMNjQ1lDxe7pYBcnRfOycf5+Vm3R7yPPJpz2nUqn+a7eegwjUhaf44X7T&#10;cf4U/n+JB8jlHQAA//8DAFBLAQItABQABgAIAAAAIQDb4fbL7gAAAIUBAAATAAAAAAAAAAAAAAAA&#10;AAAAAABbQ29udGVudF9UeXBlc10ueG1sUEsBAi0AFAAGAAgAAAAhAFr0LFu/AAAAFQEAAAsAAAAA&#10;AAAAAAAAAAAAHwEAAF9yZWxzLy5yZWxzUEsBAi0AFAAGAAgAAAAhAMCWu/XBAAAA2wAAAA8AAAAA&#10;AAAAAAAAAAAABwIAAGRycy9kb3ducmV2LnhtbFBLBQYAAAAAAwADALcAAAD1AgAAAAA=&#10;" adj="15840" fillcolor="#cff"/>
                <v:shape id="AutoShape 17" o:spid="_x0000_s1041" type="#_x0000_t55" style="position:absolute;left:4893;top:3510;width:450;height:46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h5uwQAAANsAAAAPAAAAZHJzL2Rvd25yZXYueG1sRE/basJA&#10;EH0X+g/LFHzTjQo1RFfxglgUWmILvg7ZaTY0Oxuyq6Z/3xUE3+ZwrjNfdrYWV2p95VjBaJiAIC6c&#10;rrhU8P21G6QgfEDWWDsmBX/kYbl46c0x0+7GOV1PoRQxhH2GCkwITSalLwxZ9EPXEEfux7UWQ4Rt&#10;KXWLtxhuazlOkjdpseLYYLChjaHi93SxCpKD+dg6f5yW63Szz/PJpz2nUqn+a7eagQjUhaf44X7X&#10;cf4U7r/EA+TiHwAA//8DAFBLAQItABQABgAIAAAAIQDb4fbL7gAAAIUBAAATAAAAAAAAAAAAAAAA&#10;AAAAAABbQ29udGVudF9UeXBlc10ueG1sUEsBAi0AFAAGAAgAAAAhAFr0LFu/AAAAFQEAAAsAAAAA&#10;AAAAAAAAAAAAHwEAAF9yZWxzLy5yZWxzUEsBAi0AFAAGAAgAAAAhAK/aHm7BAAAA2wAAAA8AAAAA&#10;AAAAAAAAAAAABwIAAGRycy9kb3ducmV2LnhtbFBLBQYAAAAAAwADALcAAAD1AgAAAAA=&#10;" adj="15840" fillcolor="#cff"/>
                <v:shape id="AutoShape 18" o:spid="_x0000_s1042" type="#_x0000_t55" style="position:absolute;left:6236;top:2591;width:463;height:4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9xAAAANsAAAAPAAAAZHJzL2Rvd25yZXYueG1sRI9BT8JA&#10;EIXvJvyHzZB4ky0eDFYWQlCIl8aIcB+7Q9vYna3dodR/7xxMvM3kvXnvm+V6DK0ZqE9NZAfzWQaG&#10;uIy+4crB8WN3twCTBNljG5kc/FCC9Wpys8Tcxyu/03CQymgIpxwd1CJdbm0qawqYZrEjVu0c+4Ci&#10;a19Z3+NVw0Nr77PswQZsWBtq7GhbU/l1uAQHIt/7z+LFFvhcvD0eT4vz6bIdnLudjpsnMEKj/Jv/&#10;rl+94ius/qID2NUvAAAA//8DAFBLAQItABQABgAIAAAAIQDb4fbL7gAAAIUBAAATAAAAAAAAAAAA&#10;AAAAAAAAAABbQ29udGVudF9UeXBlc10ueG1sUEsBAi0AFAAGAAgAAAAhAFr0LFu/AAAAFQEAAAsA&#10;AAAAAAAAAAAAAAAAHwEAAF9yZWxzLy5yZWxzUEsBAi0AFAAGAAgAAAAhAB75Wj3EAAAA2wAAAA8A&#10;AAAAAAAAAAAAAAAABwIAAGRycy9kb3ducmV2LnhtbFBLBQYAAAAAAwADALcAAAD4AgAAAAA=&#10;" adj="15840" fillcolor="#cff"/>
                <v:shape id="AutoShape 19" o:spid="_x0000_s1043" type="#_x0000_t55" style="position:absolute;left:4893;top:1813;width:450;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rjwgAAANsAAAAPAAAAZHJzL2Rvd25yZXYueG1sRE9Na8JA&#10;EL0X/A/LCL3VjYpFU1cRQduDUGJ78TbNjkk0Oxt2t0n8926h4G0e73OW697UoiXnK8sKxqMEBHFu&#10;dcWFgu+v3cschA/IGmvLpOBGHtarwdMSU207zqg9hkLEEPYpKihDaFIpfV6SQT+yDXHkztYZDBG6&#10;QmqHXQw3tZwkyas0WHFsKLGhbUn59fhrFFTvm0Nbd0VzSfafp1m2c5mf/ij1POw3byAC9eEh/nd/&#10;6Dh/AX+/xAPk6g4AAP//AwBQSwECLQAUAAYACAAAACEA2+H2y+4AAACFAQAAEwAAAAAAAAAAAAAA&#10;AAAAAAAAW0NvbnRlbnRfVHlwZXNdLnhtbFBLAQItABQABgAIAAAAIQBa9CxbvwAAABUBAAALAAAA&#10;AAAAAAAAAAAAAB8BAABfcmVscy8ucmVsc1BLAQItABQABgAIAAAAIQCQIIrjwgAAANsAAAAPAAAA&#10;AAAAAAAAAAAAAAcCAABkcnMvZG93bnJldi54bWxQSwUGAAAAAAMAAwC3AAAA9gIAAAAA&#10;" adj="15840" fillcolor="#cff"/>
                <v:shape id="AutoShape 20" o:spid="_x0000_s1044" type="#_x0000_t55" style="position:absolute;left:4893;top:5362;width:45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nDwgAAANsAAAAPAAAAZHJzL2Rvd25yZXYueG1sRE/Pa8Iw&#10;FL4L+x/CG3jTdA5lVNMiA52HwWjdZbe35tl2a15KEtvuvzeHgceP7/cun0wnBnK+tazgaZmAIK6s&#10;brlW8Hk+LF5A+ICssbNMCv7IQ549zHaYajtyQUMZahFD2KeooAmhT6X0VUMG/dL2xJG7WGcwROhq&#10;qR2OMdx0cpUkG2mw5djQYE+vDVW/5dUoaN/270M31v1Pcvz4WhcHV/jnb6Xmj9N+CyLQFO7if/dJ&#10;K1jF9fFL/AEyuwEAAP//AwBQSwECLQAUAAYACAAAACEA2+H2y+4AAACFAQAAEwAAAAAAAAAAAAAA&#10;AAAAAAAAW0NvbnRlbnRfVHlwZXNdLnhtbFBLAQItABQABgAIAAAAIQBa9CxbvwAAABUBAAALAAAA&#10;AAAAAAAAAAAAAB8BAABfcmVscy8ucmVsc1BLAQItABQABgAIAAAAIQDPdunDwgAAANsAAAAPAAAA&#10;AAAAAAAAAAAAAAcCAABkcnMvZG93bnJldi54bWxQSwUGAAAAAAMAAwC3AAAA9gIAAAAA&#10;" adj="15840" fillcolor="#cff"/>
                <v:shape id="AutoShape 21" o:spid="_x0000_s1045" type="#_x0000_t55" style="position:absolute;left:4743;top:8294;width:450;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xYxAAAANsAAAAPAAAAZHJzL2Rvd25yZXYueG1sRI9Ba8JA&#10;FITvgv9heUJvutGiSOoqImh7KJSoF2+v2dckNfs27K5J+u/dguBxmJlvmNWmN7VoyfnKsoLpJAFB&#10;nFtdcaHgfNqPlyB8QNZYWyYFf+Rhsx4OVphq23FG7TEUIkLYp6igDKFJpfR5SQb9xDbE0fuxzmCI&#10;0hVSO+wi3NRyliQLabDiuFBiQ7uS8uvxZhRU79vPtu6K5jc5fF3m2d5l/vVbqZdRv30DEagPz/Cj&#10;/aEVzKbw/yX+ALm+AwAA//8DAFBLAQItABQABgAIAAAAIQDb4fbL7gAAAIUBAAATAAAAAAAAAAAA&#10;AAAAAAAAAABbQ29udGVudF9UeXBlc10ueG1sUEsBAi0AFAAGAAgAAAAhAFr0LFu/AAAAFQEAAAsA&#10;AAAAAAAAAAAAAAAAHwEAAF9yZWxzLy5yZWxzUEsBAi0AFAAGAAgAAAAhAKA6TFjEAAAA2wAAAA8A&#10;AAAAAAAAAAAAAAAABwIAAGRycy9kb3ducmV2LnhtbFBLBQYAAAAAAwADALcAAAD4AgAAAAA=&#10;" adj="15840" fillcolor="#cff"/>
                <v:line id="Line 23" o:spid="_x0000_s1046" style="position:absolute;visibility:visible;mso-wrap-style:square" from="8043,1967" to="8411,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4" o:spid="_x0000_s1047" style="position:absolute;flip:y;visibility:visible;mso-wrap-style:square" from="9161,2930" to="9162,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5" o:spid="_x0000_s1048" style="position:absolute;flip:x;visibility:visible;mso-wrap-style:square" from="7743,3819" to="8343,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AutoShape 22" o:spid="_x0000_s1049" style="position:absolute;left:8411;top:3393;width:1650;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88F62DB" w14:textId="77777777" w:rsidR="007D1119" w:rsidRPr="00BB0558" w:rsidRDefault="00EB294F" w:rsidP="00EB294F">
                        <w:pPr>
                          <w:rPr>
                            <w:rFonts w:ascii="Calibri" w:hAnsi="Calibri" w:cs="Microsoft Sans Serif"/>
                          </w:rPr>
                        </w:pPr>
                        <w:r>
                          <w:rPr>
                            <w:rFonts w:ascii="Calibri" w:hAnsi="Calibri" w:cs="Microsoft Sans Serif"/>
                          </w:rPr>
                          <w:t xml:space="preserve">Ensures employee’s consent to referral.  </w:t>
                        </w:r>
                        <w:r w:rsidR="007D1119" w:rsidRPr="00BB0558">
                          <w:rPr>
                            <w:rFonts w:ascii="Calibri" w:hAnsi="Calibri" w:cs="Microsoft Sans Serif"/>
                          </w:rPr>
                          <w:t>Referral form and employee info available at www.tophs.co.uk</w:t>
                        </w:r>
                      </w:p>
                      <w:p w14:paraId="0FD04301" w14:textId="77777777" w:rsidR="007D1119" w:rsidRPr="000B0145" w:rsidRDefault="007D1119" w:rsidP="007D1119"/>
                    </w:txbxContent>
                  </v:textbox>
                </v:rect>
                <w10:anchorlock/>
              </v:group>
            </w:pict>
          </mc:Fallback>
        </mc:AlternateContent>
      </w:r>
    </w:p>
    <w:p w14:paraId="538B46D8" w14:textId="66E37034" w:rsidR="007D1119" w:rsidRPr="00C85F64" w:rsidRDefault="007D1119" w:rsidP="007D1119">
      <w:pPr>
        <w:rPr>
          <w:rFonts w:cs="Microsoft Sans Serif"/>
          <w:b/>
        </w:rPr>
      </w:pPr>
      <w:r w:rsidRPr="00C85F64">
        <w:rPr>
          <w:rFonts w:cs="Microsoft Sans Serif"/>
          <w:b/>
        </w:rPr>
        <w:t xml:space="preserve">NB Signed acceptance of TOPHS Ltd’s terms and conditions including invoicing details must be in place before any appointments will be confirmed.  This only needs to be done once.  This form is available on-line and should be </w:t>
      </w:r>
      <w:r w:rsidR="00EA5C54">
        <w:rPr>
          <w:rFonts w:cs="Microsoft Sans Serif"/>
          <w:b/>
        </w:rPr>
        <w:t>e</w:t>
      </w:r>
      <w:r w:rsidRPr="00C85F64">
        <w:rPr>
          <w:b/>
          <w:lang w:val="de-DE"/>
        </w:rPr>
        <w:t>mailed to enquiries@tophs.co.uk</w:t>
      </w:r>
      <w:r w:rsidRPr="00C85F64">
        <w:rPr>
          <w:rFonts w:cs="Microsoft Sans Serif"/>
          <w:b/>
        </w:rPr>
        <w:t>.</w:t>
      </w:r>
    </w:p>
    <w:sectPr w:rsidR="007D1119" w:rsidRPr="00C85F64" w:rsidSect="00000F16">
      <w:headerReference w:type="default" r:id="rId12"/>
      <w:footerReference w:type="default" r:id="rId13"/>
      <w:pgSz w:w="11906" w:h="16838"/>
      <w:pgMar w:top="223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2CBA" w14:textId="77777777" w:rsidR="00B421FD" w:rsidRDefault="00B421FD" w:rsidP="005979FA">
      <w:pPr>
        <w:spacing w:after="0" w:line="240" w:lineRule="auto"/>
      </w:pPr>
      <w:r>
        <w:separator/>
      </w:r>
    </w:p>
  </w:endnote>
  <w:endnote w:type="continuationSeparator" w:id="0">
    <w:p w14:paraId="52C6829A" w14:textId="77777777" w:rsidR="00B421FD" w:rsidRDefault="00B421FD" w:rsidP="00597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80DA" w14:textId="77777777" w:rsidR="00000F16" w:rsidRDefault="00000F16">
    <w:pPr>
      <w:pStyle w:val="Footer"/>
    </w:pPr>
  </w:p>
  <w:p w14:paraId="52EF1CF0" w14:textId="2492E1DC" w:rsidR="007D1119" w:rsidRPr="007D1119" w:rsidRDefault="00000F16" w:rsidP="007D1119">
    <w:pPr>
      <w:spacing w:line="240" w:lineRule="auto"/>
      <w:rPr>
        <w:rFonts w:cs="Microsoft Sans Serif"/>
        <w:sz w:val="20"/>
        <w:szCs w:val="20"/>
      </w:rPr>
    </w:pPr>
    <w:r w:rsidRPr="00000F16">
      <w:rPr>
        <w:sz w:val="20"/>
        <w:szCs w:val="20"/>
      </w:rPr>
      <w:t xml:space="preserve">TOPHS </w:t>
    </w:r>
    <w:r w:rsidR="007D1119" w:rsidRPr="007D1119">
      <w:rPr>
        <w:rFonts w:cs="Microsoft Sans Serif"/>
        <w:sz w:val="20"/>
        <w:szCs w:val="20"/>
      </w:rPr>
      <w:t>Management Referral Guidance &amp; Process Flow</w:t>
    </w:r>
    <w:r w:rsidR="004E0758">
      <w:rPr>
        <w:rFonts w:cs="Microsoft Sans Serif"/>
        <w:sz w:val="20"/>
        <w:szCs w:val="20"/>
      </w:rPr>
      <w:t xml:space="preserve"> C</w:t>
    </w:r>
    <w:r w:rsidR="00EC777D">
      <w:rPr>
        <w:rFonts w:cs="Microsoft Sans Serif"/>
        <w:sz w:val="20"/>
        <w:szCs w:val="20"/>
      </w:rPr>
      <w:t xml:space="preserve">hart </w:t>
    </w:r>
    <w:r w:rsidR="004E0758">
      <w:rPr>
        <w:rFonts w:cs="Microsoft Sans Serif"/>
        <w:sz w:val="20"/>
        <w:szCs w:val="20"/>
      </w:rPr>
      <w:t xml:space="preserve">– Current - </w:t>
    </w:r>
    <w:r w:rsidR="005A7C48">
      <w:rPr>
        <w:rFonts w:cs="Microsoft Sans Serif"/>
        <w:sz w:val="20"/>
        <w:szCs w:val="20"/>
      </w:rPr>
      <w:t>2025</w:t>
    </w:r>
  </w:p>
  <w:p w14:paraId="3A35F2B0" w14:textId="77777777" w:rsidR="005979FA" w:rsidRDefault="005979FA" w:rsidP="007D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EB6A" w14:textId="77777777" w:rsidR="00B421FD" w:rsidRDefault="00B421FD" w:rsidP="005979FA">
      <w:pPr>
        <w:spacing w:after="0" w:line="240" w:lineRule="auto"/>
      </w:pPr>
      <w:r>
        <w:separator/>
      </w:r>
    </w:p>
  </w:footnote>
  <w:footnote w:type="continuationSeparator" w:id="0">
    <w:p w14:paraId="2EC8A0F7" w14:textId="77777777" w:rsidR="00B421FD" w:rsidRDefault="00B421FD" w:rsidP="00597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94A1" w14:textId="77777777" w:rsidR="00000F16" w:rsidRPr="00EE7D7B" w:rsidRDefault="00000F16" w:rsidP="00000F16">
    <w:pPr>
      <w:pStyle w:val="Header"/>
      <w:tabs>
        <w:tab w:val="clear" w:pos="4513"/>
        <w:tab w:val="clear" w:pos="9026"/>
        <w:tab w:val="left" w:pos="1986"/>
      </w:tabs>
      <w:rPr>
        <w:sz w:val="28"/>
        <w:szCs w:val="28"/>
      </w:rPr>
    </w:pPr>
    <w:r>
      <w:rPr>
        <w:noProof/>
        <w:lang w:eastAsia="en-GB"/>
      </w:rPr>
      <w:drawing>
        <wp:anchor distT="0" distB="0" distL="114300" distR="114300" simplePos="0" relativeHeight="251659264" behindDoc="1" locked="0" layoutInCell="1" allowOverlap="1" wp14:anchorId="408A68C1" wp14:editId="18E1997E">
          <wp:simplePos x="0" y="0"/>
          <wp:positionH relativeFrom="column">
            <wp:posOffset>-202079</wp:posOffset>
          </wp:positionH>
          <wp:positionV relativeFrom="paragraph">
            <wp:posOffset>-228451</wp:posOffset>
          </wp:positionV>
          <wp:extent cx="1025562" cy="1051859"/>
          <wp:effectExtent l="19050" t="0" r="3138" b="0"/>
          <wp:wrapNone/>
          <wp:docPr id="4" name="Picture 1"/>
          <wp:cNvGraphicFramePr/>
          <a:graphic xmlns:a="http://schemas.openxmlformats.org/drawingml/2006/main">
            <a:graphicData uri="http://schemas.openxmlformats.org/drawingml/2006/picture">
              <pic:pic xmlns:pic="http://schemas.openxmlformats.org/drawingml/2006/picture">
                <pic:nvPicPr>
                  <pic:cNvPr id="2" name="Picture 1" descr="TOPHS_logo gif.gif"/>
                  <pic:cNvPicPr>
                    <a:picLocks noChangeAspect="1"/>
                  </pic:cNvPicPr>
                </pic:nvPicPr>
                <pic:blipFill>
                  <a:blip r:embed="rId1" cstate="print"/>
                  <a:stretch>
                    <a:fillRect/>
                  </a:stretch>
                </pic:blipFill>
                <pic:spPr>
                  <a:xfrm>
                    <a:off x="0" y="0"/>
                    <a:ext cx="1025562" cy="1051859"/>
                  </a:xfrm>
                  <a:prstGeom prst="rect">
                    <a:avLst/>
                  </a:prstGeom>
                </pic:spPr>
              </pic:pic>
            </a:graphicData>
          </a:graphic>
        </wp:anchor>
      </w:drawing>
    </w:r>
    <w:r>
      <w:tab/>
    </w:r>
    <w:r w:rsidRPr="00EE7D7B">
      <w:rPr>
        <w:rFonts w:ascii="Calibri" w:eastAsia="Times New Roman" w:hAnsi="Calibri" w:cs="Calibri"/>
        <w:b/>
        <w:bCs/>
        <w:color w:val="000000"/>
        <w:sz w:val="28"/>
        <w:szCs w:val="28"/>
        <w:lang w:eastAsia="en-GB"/>
      </w:rPr>
      <w:t>Trinity Occupational and Public Health Solutions Ltd</w:t>
    </w:r>
  </w:p>
  <w:p w14:paraId="0F1FB617" w14:textId="77777777" w:rsidR="00000F16" w:rsidRDefault="00000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FAB"/>
    <w:multiLevelType w:val="hybridMultilevel"/>
    <w:tmpl w:val="43545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2178E5"/>
    <w:multiLevelType w:val="multilevel"/>
    <w:tmpl w:val="5C1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0BF"/>
    <w:multiLevelType w:val="multilevel"/>
    <w:tmpl w:val="731A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F1501"/>
    <w:multiLevelType w:val="hybridMultilevel"/>
    <w:tmpl w:val="FD1EF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5B2DF2"/>
    <w:multiLevelType w:val="hybridMultilevel"/>
    <w:tmpl w:val="68B4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26979"/>
    <w:multiLevelType w:val="hybridMultilevel"/>
    <w:tmpl w:val="07B2B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417B3"/>
    <w:multiLevelType w:val="hybridMultilevel"/>
    <w:tmpl w:val="EAB0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80062"/>
    <w:multiLevelType w:val="hybridMultilevel"/>
    <w:tmpl w:val="CBF87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9C283B"/>
    <w:multiLevelType w:val="hybridMultilevel"/>
    <w:tmpl w:val="8B28E572"/>
    <w:lvl w:ilvl="0" w:tplc="C43A9BE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463DAD"/>
    <w:multiLevelType w:val="hybridMultilevel"/>
    <w:tmpl w:val="B45E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70BC5"/>
    <w:multiLevelType w:val="hybridMultilevel"/>
    <w:tmpl w:val="C3CA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D4FE9"/>
    <w:multiLevelType w:val="hybridMultilevel"/>
    <w:tmpl w:val="DE12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C6FA7"/>
    <w:multiLevelType w:val="hybridMultilevel"/>
    <w:tmpl w:val="3ECED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074294"/>
    <w:multiLevelType w:val="hybridMultilevel"/>
    <w:tmpl w:val="EB3AC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716E4D"/>
    <w:multiLevelType w:val="hybridMultilevel"/>
    <w:tmpl w:val="BFD62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4D3BFC"/>
    <w:multiLevelType w:val="multilevel"/>
    <w:tmpl w:val="00E0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8157AD"/>
    <w:multiLevelType w:val="hybridMultilevel"/>
    <w:tmpl w:val="B5503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1C4901"/>
    <w:multiLevelType w:val="hybridMultilevel"/>
    <w:tmpl w:val="9CE80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8624513"/>
    <w:multiLevelType w:val="hybridMultilevel"/>
    <w:tmpl w:val="4748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50AD9"/>
    <w:multiLevelType w:val="hybridMultilevel"/>
    <w:tmpl w:val="D8B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4B0011"/>
    <w:multiLevelType w:val="hybridMultilevel"/>
    <w:tmpl w:val="661A7AC8"/>
    <w:lvl w:ilvl="0" w:tplc="6F7203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F12C77"/>
    <w:multiLevelType w:val="hybridMultilevel"/>
    <w:tmpl w:val="1CB47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5905549">
    <w:abstractNumId w:val="8"/>
  </w:num>
  <w:num w:numId="2" w16cid:durableId="2115201901">
    <w:abstractNumId w:val="9"/>
  </w:num>
  <w:num w:numId="3" w16cid:durableId="353264864">
    <w:abstractNumId w:val="11"/>
  </w:num>
  <w:num w:numId="4" w16cid:durableId="315959298">
    <w:abstractNumId w:val="2"/>
  </w:num>
  <w:num w:numId="5" w16cid:durableId="1202591681">
    <w:abstractNumId w:val="1"/>
  </w:num>
  <w:num w:numId="6" w16cid:durableId="1176073971">
    <w:abstractNumId w:val="15"/>
  </w:num>
  <w:num w:numId="7" w16cid:durableId="1602832570">
    <w:abstractNumId w:val="10"/>
  </w:num>
  <w:num w:numId="8" w16cid:durableId="1007751248">
    <w:abstractNumId w:val="19"/>
  </w:num>
  <w:num w:numId="9" w16cid:durableId="2127890514">
    <w:abstractNumId w:val="18"/>
  </w:num>
  <w:num w:numId="10" w16cid:durableId="1253859643">
    <w:abstractNumId w:val="4"/>
  </w:num>
  <w:num w:numId="11" w16cid:durableId="1460104159">
    <w:abstractNumId w:val="6"/>
  </w:num>
  <w:num w:numId="12" w16cid:durableId="562062822">
    <w:abstractNumId w:val="17"/>
  </w:num>
  <w:num w:numId="13" w16cid:durableId="1536195383">
    <w:abstractNumId w:val="7"/>
  </w:num>
  <w:num w:numId="14" w16cid:durableId="539974223">
    <w:abstractNumId w:val="13"/>
  </w:num>
  <w:num w:numId="15" w16cid:durableId="814638968">
    <w:abstractNumId w:val="16"/>
  </w:num>
  <w:num w:numId="16" w16cid:durableId="1335452835">
    <w:abstractNumId w:val="3"/>
  </w:num>
  <w:num w:numId="17" w16cid:durableId="1527987098">
    <w:abstractNumId w:val="20"/>
  </w:num>
  <w:num w:numId="18" w16cid:durableId="1345400593">
    <w:abstractNumId w:val="0"/>
  </w:num>
  <w:num w:numId="19" w16cid:durableId="1840848340">
    <w:abstractNumId w:val="12"/>
  </w:num>
  <w:num w:numId="20" w16cid:durableId="1548183288">
    <w:abstractNumId w:val="5"/>
  </w:num>
  <w:num w:numId="21" w16cid:durableId="1017776671">
    <w:abstractNumId w:val="14"/>
  </w:num>
  <w:num w:numId="22" w16cid:durableId="17358537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F66"/>
    <w:rsid w:val="00000F16"/>
    <w:rsid w:val="0000483E"/>
    <w:rsid w:val="000067A1"/>
    <w:rsid w:val="0003094F"/>
    <w:rsid w:val="000351F8"/>
    <w:rsid w:val="0006112D"/>
    <w:rsid w:val="00076FCD"/>
    <w:rsid w:val="00084200"/>
    <w:rsid w:val="00085F76"/>
    <w:rsid w:val="000A7010"/>
    <w:rsid w:val="000D79A9"/>
    <w:rsid w:val="001806B4"/>
    <w:rsid w:val="001E4B56"/>
    <w:rsid w:val="00212917"/>
    <w:rsid w:val="00212E62"/>
    <w:rsid w:val="002564E2"/>
    <w:rsid w:val="00270868"/>
    <w:rsid w:val="002D52F2"/>
    <w:rsid w:val="002F0D5C"/>
    <w:rsid w:val="002F3A5B"/>
    <w:rsid w:val="0030271C"/>
    <w:rsid w:val="00363A3B"/>
    <w:rsid w:val="00387516"/>
    <w:rsid w:val="003875B2"/>
    <w:rsid w:val="003A7425"/>
    <w:rsid w:val="00422A45"/>
    <w:rsid w:val="00480A9C"/>
    <w:rsid w:val="00481CDD"/>
    <w:rsid w:val="004C30F9"/>
    <w:rsid w:val="004C4AD6"/>
    <w:rsid w:val="004D6F66"/>
    <w:rsid w:val="004E0758"/>
    <w:rsid w:val="004F3438"/>
    <w:rsid w:val="00515584"/>
    <w:rsid w:val="0055659D"/>
    <w:rsid w:val="005979FA"/>
    <w:rsid w:val="005A2A0B"/>
    <w:rsid w:val="005A7C48"/>
    <w:rsid w:val="005D7657"/>
    <w:rsid w:val="00607610"/>
    <w:rsid w:val="00633AA5"/>
    <w:rsid w:val="00634CA7"/>
    <w:rsid w:val="0064124A"/>
    <w:rsid w:val="00641F17"/>
    <w:rsid w:val="0065692B"/>
    <w:rsid w:val="00663711"/>
    <w:rsid w:val="006644BF"/>
    <w:rsid w:val="00667CB6"/>
    <w:rsid w:val="0067623D"/>
    <w:rsid w:val="006A056F"/>
    <w:rsid w:val="006D12C4"/>
    <w:rsid w:val="006E1114"/>
    <w:rsid w:val="006E2F29"/>
    <w:rsid w:val="006F2F59"/>
    <w:rsid w:val="00723FF4"/>
    <w:rsid w:val="007502E6"/>
    <w:rsid w:val="00752F80"/>
    <w:rsid w:val="007C72CA"/>
    <w:rsid w:val="007D1119"/>
    <w:rsid w:val="007D6D44"/>
    <w:rsid w:val="007D788C"/>
    <w:rsid w:val="008033CB"/>
    <w:rsid w:val="00803F77"/>
    <w:rsid w:val="00806129"/>
    <w:rsid w:val="0084047D"/>
    <w:rsid w:val="00885A42"/>
    <w:rsid w:val="008922AE"/>
    <w:rsid w:val="008B67C4"/>
    <w:rsid w:val="008D5AAB"/>
    <w:rsid w:val="008E4292"/>
    <w:rsid w:val="008E594F"/>
    <w:rsid w:val="008E7DB2"/>
    <w:rsid w:val="008E7DE7"/>
    <w:rsid w:val="00920C54"/>
    <w:rsid w:val="0092357E"/>
    <w:rsid w:val="009559CC"/>
    <w:rsid w:val="00956FCC"/>
    <w:rsid w:val="00977FC8"/>
    <w:rsid w:val="00995E00"/>
    <w:rsid w:val="009C4F9B"/>
    <w:rsid w:val="009D35E3"/>
    <w:rsid w:val="00A25F2C"/>
    <w:rsid w:val="00A30937"/>
    <w:rsid w:val="00A353E6"/>
    <w:rsid w:val="00A37433"/>
    <w:rsid w:val="00A40E8E"/>
    <w:rsid w:val="00A64931"/>
    <w:rsid w:val="00A667A4"/>
    <w:rsid w:val="00A72ACB"/>
    <w:rsid w:val="00AB37F0"/>
    <w:rsid w:val="00AB5AC0"/>
    <w:rsid w:val="00B01050"/>
    <w:rsid w:val="00B1037D"/>
    <w:rsid w:val="00B421FD"/>
    <w:rsid w:val="00B73FBF"/>
    <w:rsid w:val="00BB50D2"/>
    <w:rsid w:val="00BB6A31"/>
    <w:rsid w:val="00C25AC0"/>
    <w:rsid w:val="00C468F7"/>
    <w:rsid w:val="00C46BB5"/>
    <w:rsid w:val="00C67E84"/>
    <w:rsid w:val="00C7749B"/>
    <w:rsid w:val="00C85F64"/>
    <w:rsid w:val="00C921E3"/>
    <w:rsid w:val="00CB5938"/>
    <w:rsid w:val="00CC4049"/>
    <w:rsid w:val="00CF325D"/>
    <w:rsid w:val="00D036FF"/>
    <w:rsid w:val="00D6358E"/>
    <w:rsid w:val="00D91FEA"/>
    <w:rsid w:val="00DB7BAD"/>
    <w:rsid w:val="00DD6745"/>
    <w:rsid w:val="00E1385B"/>
    <w:rsid w:val="00E90E8D"/>
    <w:rsid w:val="00EA5C54"/>
    <w:rsid w:val="00EB294F"/>
    <w:rsid w:val="00EC777D"/>
    <w:rsid w:val="00ED4A96"/>
    <w:rsid w:val="00ED5A18"/>
    <w:rsid w:val="00EF59A9"/>
    <w:rsid w:val="00EF75B9"/>
    <w:rsid w:val="00F05DBB"/>
    <w:rsid w:val="00F56548"/>
    <w:rsid w:val="00F61E4C"/>
    <w:rsid w:val="00F72636"/>
    <w:rsid w:val="00F83806"/>
    <w:rsid w:val="00F848CA"/>
    <w:rsid w:val="00F9131C"/>
    <w:rsid w:val="00F94F28"/>
    <w:rsid w:val="00FC5EE0"/>
    <w:rsid w:val="00FC71C1"/>
    <w:rsid w:val="00FD5424"/>
    <w:rsid w:val="00FE429A"/>
    <w:rsid w:val="00FF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1529"/>
  <w15:docId w15:val="{A7612792-C5E1-4DEB-A68D-16B8B416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Unresolved Mention" w:semiHidden="1" w:unhideWhenUsed="1"/>
    <w:lsdException w:name="Smart Link" w:semiHidden="1" w:unhideWhenUsed="1"/>
  </w:latentStyles>
  <w:style w:type="paragraph" w:default="1" w:styleId="Normal">
    <w:name w:val="Normal"/>
    <w:qFormat/>
    <w:rsid w:val="004C4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A3B"/>
    <w:pPr>
      <w:ind w:left="720"/>
      <w:contextualSpacing/>
    </w:pPr>
  </w:style>
  <w:style w:type="paragraph" w:styleId="BalloonText">
    <w:name w:val="Balloon Text"/>
    <w:basedOn w:val="Normal"/>
    <w:link w:val="BalloonTextChar"/>
    <w:uiPriority w:val="99"/>
    <w:semiHidden/>
    <w:unhideWhenUsed/>
    <w:rsid w:val="00E13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85B"/>
    <w:rPr>
      <w:rFonts w:ascii="Tahoma" w:hAnsi="Tahoma" w:cs="Tahoma"/>
      <w:sz w:val="16"/>
      <w:szCs w:val="16"/>
    </w:rPr>
  </w:style>
  <w:style w:type="character" w:styleId="Hyperlink">
    <w:name w:val="Hyperlink"/>
    <w:basedOn w:val="DefaultParagraphFont"/>
    <w:uiPriority w:val="99"/>
    <w:unhideWhenUsed/>
    <w:rsid w:val="005979FA"/>
    <w:rPr>
      <w:color w:val="0000FF" w:themeColor="hyperlink"/>
      <w:u w:val="single"/>
    </w:rPr>
  </w:style>
  <w:style w:type="paragraph" w:styleId="Header">
    <w:name w:val="header"/>
    <w:basedOn w:val="Normal"/>
    <w:link w:val="HeaderChar"/>
    <w:uiPriority w:val="99"/>
    <w:unhideWhenUsed/>
    <w:rsid w:val="00597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9FA"/>
  </w:style>
  <w:style w:type="paragraph" w:styleId="Footer">
    <w:name w:val="footer"/>
    <w:basedOn w:val="Normal"/>
    <w:link w:val="FooterChar"/>
    <w:uiPriority w:val="99"/>
    <w:unhideWhenUsed/>
    <w:rsid w:val="00597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9FA"/>
  </w:style>
  <w:style w:type="table" w:styleId="TableGrid">
    <w:name w:val="Table Grid"/>
    <w:basedOn w:val="TableNormal"/>
    <w:uiPriority w:val="59"/>
    <w:rsid w:val="008E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E429A"/>
    <w:rPr>
      <w:i/>
      <w:iCs/>
    </w:rPr>
  </w:style>
  <w:style w:type="character" w:customStyle="1" w:styleId="apple-converted-space">
    <w:name w:val="apple-converted-space"/>
    <w:basedOn w:val="DefaultParagraphFont"/>
    <w:rsid w:val="00FE429A"/>
  </w:style>
  <w:style w:type="character" w:styleId="UnresolvedMention">
    <w:name w:val="Unresolved Mention"/>
    <w:basedOn w:val="DefaultParagraphFont"/>
    <w:uiPriority w:val="99"/>
    <w:semiHidden/>
    <w:unhideWhenUsed/>
    <w:rsid w:val="00FD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45724">
      <w:bodyDiv w:val="1"/>
      <w:marLeft w:val="0"/>
      <w:marRight w:val="0"/>
      <w:marTop w:val="0"/>
      <w:marBottom w:val="0"/>
      <w:divBdr>
        <w:top w:val="none" w:sz="0" w:space="0" w:color="auto"/>
        <w:left w:val="none" w:sz="0" w:space="0" w:color="auto"/>
        <w:bottom w:val="none" w:sz="0" w:space="0" w:color="auto"/>
        <w:right w:val="none" w:sz="0" w:space="0" w:color="auto"/>
      </w:divBdr>
    </w:div>
    <w:div w:id="1892837637">
      <w:bodyDiv w:val="1"/>
      <w:marLeft w:val="0"/>
      <w:marRight w:val="0"/>
      <w:marTop w:val="0"/>
      <w:marBottom w:val="0"/>
      <w:divBdr>
        <w:top w:val="none" w:sz="0" w:space="0" w:color="auto"/>
        <w:left w:val="none" w:sz="0" w:space="0" w:color="auto"/>
        <w:bottom w:val="none" w:sz="0" w:space="0" w:color="auto"/>
        <w:right w:val="none" w:sz="0" w:space="0" w:color="auto"/>
      </w:divBdr>
      <w:divsChild>
        <w:div w:id="724371181">
          <w:marLeft w:val="2931"/>
          <w:marRight w:val="0"/>
          <w:marTop w:val="0"/>
          <w:marBottom w:val="0"/>
          <w:divBdr>
            <w:top w:val="none" w:sz="0" w:space="0" w:color="auto"/>
            <w:left w:val="none" w:sz="0" w:space="0" w:color="auto"/>
            <w:bottom w:val="none" w:sz="0" w:space="0" w:color="auto"/>
            <w:right w:val="none" w:sz="0" w:space="0" w:color="auto"/>
          </w:divBdr>
          <w:divsChild>
            <w:div w:id="1779450549">
              <w:marLeft w:val="0"/>
              <w:marRight w:val="0"/>
              <w:marTop w:val="0"/>
              <w:marBottom w:val="0"/>
              <w:divBdr>
                <w:top w:val="none" w:sz="0" w:space="0" w:color="auto"/>
                <w:left w:val="none" w:sz="0" w:space="0" w:color="auto"/>
                <w:bottom w:val="none" w:sz="0" w:space="0" w:color="auto"/>
                <w:right w:val="none" w:sz="0" w:space="0" w:color="auto"/>
              </w:divBdr>
            </w:div>
          </w:divsChild>
        </w:div>
        <w:div w:id="1535118460">
          <w:marLeft w:val="0"/>
          <w:marRight w:val="0"/>
          <w:marTop w:val="150"/>
          <w:marBottom w:val="0"/>
          <w:divBdr>
            <w:top w:val="single" w:sz="6" w:space="4" w:color="459966"/>
            <w:left w:val="none" w:sz="0" w:space="0" w:color="auto"/>
            <w:bottom w:val="single" w:sz="12" w:space="0" w:color="D4D4D4"/>
            <w:right w:val="none" w:sz="0" w:space="0" w:color="auto"/>
          </w:divBdr>
          <w:divsChild>
            <w:div w:id="7555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ph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oph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D44613F7F2C4F9ADA9428DD2F1520" ma:contentTypeVersion="16" ma:contentTypeDescription="Create a new document." ma:contentTypeScope="" ma:versionID="92dcbb96aac364b49b9e3d3f839d6c91">
  <xsd:schema xmlns:xsd="http://www.w3.org/2001/XMLSchema" xmlns:xs="http://www.w3.org/2001/XMLSchema" xmlns:p="http://schemas.microsoft.com/office/2006/metadata/properties" xmlns:ns2="2f7b45bf-b3f4-49e4-93b2-857b2d3a69c2" xmlns:ns3="e5bf2051-1657-48e2-b0a3-5ec1dd3737e1" targetNamespace="http://schemas.microsoft.com/office/2006/metadata/properties" ma:root="true" ma:fieldsID="10992ec84b1c4487d911d6a2a141e334" ns2:_="" ns3:_="">
    <xsd:import namespace="2f7b45bf-b3f4-49e4-93b2-857b2d3a69c2"/>
    <xsd:import namespace="e5bf2051-1657-48e2-b0a3-5ec1dd3737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45bf-b3f4-49e4-93b2-857b2d3a6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643795-c67f-4f4a-b259-fba60a7a4dc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f2051-1657-48e2-b0a3-5ec1dd3737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5c9b4b-c7b2-4a3b-9dbf-0332bc364181}" ma:internalName="TaxCatchAll" ma:showField="CatchAllData" ma:web="e5bf2051-1657-48e2-b0a3-5ec1dd3737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f2051-1657-48e2-b0a3-5ec1dd3737e1" xsi:nil="true"/>
    <lcf76f155ced4ddcb4097134ff3c332f xmlns="2f7b45bf-b3f4-49e4-93b2-857b2d3a69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3F6FE-4EE0-43A9-94F2-21DF7FB23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45bf-b3f4-49e4-93b2-857b2d3a69c2"/>
    <ds:schemaRef ds:uri="e5bf2051-1657-48e2-b0a3-5ec1dd373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3BCC5-25FE-45D8-A4DA-1000A520ACCC}">
  <ds:schemaRefs>
    <ds:schemaRef ds:uri="http://schemas.microsoft.com/office/2006/metadata/properties"/>
    <ds:schemaRef ds:uri="http://schemas.microsoft.com/office/infopath/2007/PartnerControls"/>
    <ds:schemaRef ds:uri="e5bf2051-1657-48e2-b0a3-5ec1dd3737e1"/>
    <ds:schemaRef ds:uri="2f7b45bf-b3f4-49e4-93b2-857b2d3a69c2"/>
  </ds:schemaRefs>
</ds:datastoreItem>
</file>

<file path=customXml/itemProps3.xml><?xml version="1.0" encoding="utf-8"?>
<ds:datastoreItem xmlns:ds="http://schemas.openxmlformats.org/officeDocument/2006/customXml" ds:itemID="{C3768430-E188-46F3-9DE8-4A3B68940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dc:creator>
  <cp:lastModifiedBy>Jo-ann Dodsworth</cp:lastModifiedBy>
  <cp:revision>2</cp:revision>
  <dcterms:created xsi:type="dcterms:W3CDTF">2025-05-23T10:25:00Z</dcterms:created>
  <dcterms:modified xsi:type="dcterms:W3CDTF">2025-05-23T10:25:00Z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0x01010054CD44613F7F2C4F9ADA9428DD2F1520</vt:lpwstr>
  </property>
</Properties>
</file>